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2CE9" w14:textId="7EEF3C90" w:rsidR="006753EB" w:rsidRPr="00655587" w:rsidRDefault="006753EB" w:rsidP="006753EB">
      <w:pPr>
        <w:jc w:val="center"/>
        <w:rPr>
          <w:rFonts w:asciiTheme="minorHAnsi" w:eastAsiaTheme="minorEastAsia" w:hAnsiTheme="minorHAnsi" w:cs="Calibri"/>
          <w:b/>
          <w:bCs/>
          <w:sz w:val="22"/>
          <w:szCs w:val="22"/>
        </w:rPr>
      </w:pPr>
      <w:bookmarkStart w:id="0" w:name="OLE_LINK357"/>
      <w:bookmarkStart w:id="1" w:name="OLE_LINK358"/>
      <w:r w:rsidRPr="00655587">
        <w:rPr>
          <w:rFonts w:asciiTheme="minorHAnsi" w:eastAsiaTheme="minorEastAsia" w:hAnsiTheme="minorHAnsi" w:cs="Calibri"/>
          <w:b/>
          <w:bCs/>
          <w:sz w:val="22"/>
          <w:szCs w:val="22"/>
        </w:rPr>
        <w:t>2021 Green Supply Chain CITI and Corporate CATI Evaluation Report Release</w:t>
      </w:r>
      <w:bookmarkEnd w:id="0"/>
      <w:bookmarkEnd w:id="1"/>
    </w:p>
    <w:p w14:paraId="61F738D9" w14:textId="77777777" w:rsidR="00B11650" w:rsidRPr="00655587" w:rsidRDefault="00B11650" w:rsidP="007F716B">
      <w:pPr>
        <w:spacing w:line="276" w:lineRule="auto"/>
        <w:jc w:val="center"/>
        <w:rPr>
          <w:rFonts w:asciiTheme="minorHAnsi" w:eastAsiaTheme="minorEastAsia" w:hAnsiTheme="minorHAnsi"/>
          <w:b/>
          <w:sz w:val="22"/>
          <w:szCs w:val="22"/>
        </w:rPr>
      </w:pPr>
    </w:p>
    <w:p w14:paraId="1DDC161B" w14:textId="0D51D84C" w:rsidR="006753EB" w:rsidRPr="00655587" w:rsidRDefault="006753EB" w:rsidP="006753EB">
      <w:pPr>
        <w:spacing w:line="276" w:lineRule="auto"/>
        <w:jc w:val="center"/>
        <w:rPr>
          <w:rFonts w:asciiTheme="minorHAnsi" w:eastAsiaTheme="minorEastAsia" w:hAnsiTheme="minorHAnsi" w:cs="Calibri"/>
          <w:b/>
          <w:bCs/>
          <w:sz w:val="22"/>
          <w:szCs w:val="22"/>
        </w:rPr>
      </w:pPr>
      <w:r w:rsidRPr="00655587">
        <w:rPr>
          <w:rFonts w:asciiTheme="minorHAnsi" w:eastAsiaTheme="minorEastAsia" w:hAnsiTheme="minorHAnsi" w:cs="Calibri"/>
          <w:b/>
          <w:bCs/>
          <w:sz w:val="22"/>
          <w:szCs w:val="22"/>
        </w:rPr>
        <w:t>D</w:t>
      </w:r>
      <w:r w:rsidR="00D901AB" w:rsidRPr="00655587">
        <w:rPr>
          <w:rFonts w:asciiTheme="minorHAnsi" w:eastAsiaTheme="minorEastAsia" w:hAnsiTheme="minorHAnsi" w:cs="Calibri"/>
          <w:b/>
          <w:bCs/>
          <w:sz w:val="22"/>
          <w:szCs w:val="22"/>
        </w:rPr>
        <w:t xml:space="preserve">ual </w:t>
      </w:r>
      <w:r w:rsidRPr="00655587">
        <w:rPr>
          <w:rFonts w:asciiTheme="minorHAnsi" w:eastAsiaTheme="minorEastAsia" w:hAnsiTheme="minorHAnsi" w:cs="Calibri"/>
          <w:b/>
          <w:bCs/>
          <w:sz w:val="22"/>
          <w:szCs w:val="22"/>
        </w:rPr>
        <w:t>carbon target</w:t>
      </w:r>
      <w:r w:rsidR="00D901AB" w:rsidRPr="00655587">
        <w:rPr>
          <w:rFonts w:asciiTheme="minorHAnsi" w:eastAsiaTheme="minorEastAsia" w:hAnsiTheme="minorHAnsi" w:cs="Calibri"/>
          <w:b/>
          <w:bCs/>
          <w:sz w:val="22"/>
          <w:szCs w:val="22"/>
        </w:rPr>
        <w:t>s draw</w:t>
      </w:r>
      <w:r w:rsidRPr="00655587">
        <w:rPr>
          <w:rFonts w:asciiTheme="minorHAnsi" w:eastAsiaTheme="minorEastAsia" w:hAnsiTheme="minorHAnsi" w:cs="Calibri"/>
          <w:b/>
          <w:bCs/>
          <w:sz w:val="22"/>
          <w:szCs w:val="22"/>
        </w:rPr>
        <w:t xml:space="preserve"> local and global brands together</w:t>
      </w:r>
    </w:p>
    <w:p w14:paraId="644CC222" w14:textId="77777777" w:rsidR="00B11650" w:rsidRPr="00655587" w:rsidRDefault="00B11650" w:rsidP="006753EB">
      <w:pPr>
        <w:spacing w:line="276" w:lineRule="auto"/>
        <w:jc w:val="center"/>
        <w:rPr>
          <w:rFonts w:asciiTheme="minorHAnsi" w:eastAsiaTheme="minorEastAsia" w:hAnsiTheme="minorHAnsi" w:cs="Calibri"/>
          <w:b/>
          <w:bCs/>
          <w:sz w:val="22"/>
          <w:szCs w:val="22"/>
        </w:rPr>
      </w:pPr>
    </w:p>
    <w:p w14:paraId="6D48EF93" w14:textId="77777777" w:rsidR="00EE1995" w:rsidRPr="00596EC2" w:rsidRDefault="006753EB" w:rsidP="007F716B">
      <w:pPr>
        <w:spacing w:line="276" w:lineRule="auto"/>
        <w:jc w:val="center"/>
        <w:rPr>
          <w:rFonts w:asciiTheme="minorHAnsi" w:eastAsiaTheme="minorEastAsia" w:hAnsiTheme="minorHAnsi" w:cs="Calibri"/>
          <w:sz w:val="22"/>
          <w:szCs w:val="22"/>
        </w:rPr>
      </w:pPr>
      <w:r w:rsidRPr="00596EC2">
        <w:rPr>
          <w:rFonts w:asciiTheme="minorHAnsi" w:eastAsiaTheme="minorEastAsia" w:hAnsiTheme="minorHAnsi" w:cs="Calibri"/>
          <w:sz w:val="22"/>
          <w:szCs w:val="22"/>
        </w:rPr>
        <w:t>Press Release</w:t>
      </w:r>
    </w:p>
    <w:p w14:paraId="0EFE6B83" w14:textId="1EDB1DDF" w:rsidR="006753EB" w:rsidRPr="00596EC2" w:rsidRDefault="006753EB" w:rsidP="007F716B">
      <w:pPr>
        <w:spacing w:line="276" w:lineRule="auto"/>
        <w:jc w:val="center"/>
        <w:rPr>
          <w:rFonts w:asciiTheme="minorHAnsi" w:eastAsiaTheme="minorEastAsia" w:hAnsiTheme="minorHAnsi"/>
          <w:sz w:val="22"/>
          <w:szCs w:val="22"/>
        </w:rPr>
      </w:pPr>
      <w:r w:rsidRPr="00596EC2">
        <w:rPr>
          <w:rFonts w:asciiTheme="minorHAnsi" w:eastAsiaTheme="minorEastAsia" w:hAnsiTheme="minorHAnsi" w:cs="Calibri"/>
          <w:sz w:val="22"/>
          <w:szCs w:val="22"/>
        </w:rPr>
        <w:t>(Embargoed until 3:00 p.m. GMT+8 time on October 21, 2021)</w:t>
      </w:r>
    </w:p>
    <w:p w14:paraId="25574ED1" w14:textId="77777777" w:rsidR="000D408C" w:rsidRPr="00655587" w:rsidRDefault="000D408C" w:rsidP="007F716B">
      <w:pPr>
        <w:spacing w:line="276" w:lineRule="auto"/>
        <w:jc w:val="both"/>
        <w:rPr>
          <w:rFonts w:asciiTheme="minorHAnsi" w:eastAsiaTheme="minorEastAsia" w:hAnsiTheme="minorHAnsi" w:cs="Calibri"/>
          <w:sz w:val="22"/>
          <w:szCs w:val="22"/>
        </w:rPr>
      </w:pPr>
    </w:p>
    <w:p w14:paraId="477529F4" w14:textId="2E70F799" w:rsidR="006753EB" w:rsidRPr="00596EC2" w:rsidRDefault="006753EB" w:rsidP="00596EC2">
      <w:pPr>
        <w:jc w:val="both"/>
        <w:rPr>
          <w:rFonts w:ascii="Calibri" w:eastAsia="Microsoft YaHei" w:hAnsi="Calibri" w:cs="Calibri"/>
          <w:sz w:val="22"/>
          <w:szCs w:val="22"/>
        </w:rPr>
      </w:pPr>
      <w:r w:rsidRPr="00A3167F">
        <w:rPr>
          <w:rFonts w:asciiTheme="minorHAnsi" w:eastAsiaTheme="minorEastAsia" w:hAnsiTheme="minorHAnsi"/>
          <w:sz w:val="22"/>
          <w:szCs w:val="22"/>
        </w:rPr>
        <w:t xml:space="preserve">October 21, 2021 – The Institute of Public and Environmental Affairs (IPE) released the evaluation results </w:t>
      </w:r>
      <w:r w:rsidRPr="00596EC2">
        <w:rPr>
          <w:rFonts w:ascii="Calibri" w:eastAsia="Microsoft YaHei" w:hAnsi="Calibri" w:cs="Calibri"/>
          <w:sz w:val="22"/>
          <w:szCs w:val="22"/>
        </w:rPr>
        <w:t xml:space="preserve">of its eighth annual Green Supply Chain CITI and the first Corporate Climate Action Transparency Index (CATI) at the 2021 Green Supply Chain &amp; Climate Action Forum, </w:t>
      </w:r>
      <w:r w:rsidR="00B11650" w:rsidRPr="00596EC2">
        <w:rPr>
          <w:rFonts w:ascii="Calibri" w:eastAsia="Microsoft YaHei" w:hAnsi="Calibri" w:cs="Calibri" w:hint="eastAsia"/>
          <w:sz w:val="22"/>
          <w:szCs w:val="22"/>
        </w:rPr>
        <w:t xml:space="preserve">highlighting </w:t>
      </w:r>
      <w:r w:rsidRPr="00596EC2">
        <w:rPr>
          <w:rFonts w:ascii="Calibri" w:eastAsia="Microsoft YaHei" w:hAnsi="Calibri" w:cs="Calibri"/>
          <w:sz w:val="22"/>
          <w:szCs w:val="22"/>
        </w:rPr>
        <w:t xml:space="preserve">that the </w:t>
      </w:r>
      <w:r w:rsidR="00D901AB" w:rsidRPr="00596EC2">
        <w:rPr>
          <w:rFonts w:ascii="Calibri" w:eastAsia="Microsoft YaHei" w:hAnsi="Calibri" w:cs="Calibri"/>
          <w:sz w:val="22"/>
          <w:szCs w:val="22"/>
        </w:rPr>
        <w:t>dual carbon</w:t>
      </w:r>
      <w:r w:rsidRPr="00596EC2">
        <w:rPr>
          <w:rFonts w:ascii="Calibri" w:eastAsia="Microsoft YaHei" w:hAnsi="Calibri" w:cs="Calibri"/>
          <w:sz w:val="22"/>
          <w:szCs w:val="22"/>
        </w:rPr>
        <w:t xml:space="preserve"> target</w:t>
      </w:r>
      <w:r w:rsidR="00D901AB" w:rsidRPr="00596EC2">
        <w:rPr>
          <w:rFonts w:ascii="Calibri" w:eastAsia="Microsoft YaHei" w:hAnsi="Calibri" w:cs="Calibri"/>
          <w:sz w:val="22"/>
          <w:szCs w:val="22"/>
        </w:rPr>
        <w:t>s have</w:t>
      </w:r>
      <w:r w:rsidRPr="00596EC2">
        <w:rPr>
          <w:rFonts w:ascii="Calibri" w:eastAsia="Microsoft YaHei" w:hAnsi="Calibri" w:cs="Calibri"/>
          <w:sz w:val="22"/>
          <w:szCs w:val="22"/>
        </w:rPr>
        <w:t xml:space="preserve"> motivated local and global companies to reduce greenhouse gas emissions across its value chain. </w:t>
      </w:r>
      <w:r w:rsidR="00FA2E86" w:rsidRPr="00596EC2">
        <w:rPr>
          <w:rFonts w:ascii="Calibri" w:eastAsia="Microsoft YaHei" w:hAnsi="Calibri" w:cs="Calibri" w:hint="eastAsia"/>
          <w:sz w:val="22"/>
          <w:szCs w:val="22"/>
        </w:rPr>
        <w:t>In this year</w:t>
      </w:r>
      <w:r w:rsidR="00FA2E86" w:rsidRPr="00596EC2">
        <w:rPr>
          <w:rFonts w:ascii="Calibri" w:eastAsia="Microsoft YaHei" w:hAnsi="Calibri" w:cs="Calibri"/>
          <w:sz w:val="22"/>
          <w:szCs w:val="22"/>
        </w:rPr>
        <w:t>’</w:t>
      </w:r>
      <w:r w:rsidR="00FA2E86" w:rsidRPr="00596EC2">
        <w:rPr>
          <w:rFonts w:ascii="Calibri" w:eastAsia="Microsoft YaHei" w:hAnsi="Calibri" w:cs="Calibri" w:hint="eastAsia"/>
          <w:sz w:val="22"/>
          <w:szCs w:val="22"/>
        </w:rPr>
        <w:t xml:space="preserve">s evaluation, </w:t>
      </w:r>
      <w:r w:rsidRPr="00596EC2">
        <w:rPr>
          <w:rFonts w:ascii="Calibri" w:eastAsia="Microsoft YaHei" w:hAnsi="Calibri" w:cs="Calibri"/>
          <w:sz w:val="22"/>
          <w:szCs w:val="22"/>
        </w:rPr>
        <w:t>Levi's and Dell topped CITI and CATI respectively, while Huawei and Lenovo remained the first among mainland Chinese brands in the two Indices. Sinopec became the first listed company</w:t>
      </w:r>
      <w:r w:rsidR="00B11650" w:rsidRPr="00596EC2">
        <w:rPr>
          <w:rFonts w:ascii="Calibri" w:eastAsia="Microsoft YaHei" w:hAnsi="Calibri" w:cs="Calibri" w:hint="eastAsia"/>
          <w:sz w:val="22"/>
          <w:szCs w:val="22"/>
        </w:rPr>
        <w:t xml:space="preserve"> controlled by</w:t>
      </w:r>
      <w:r w:rsidRPr="00596EC2">
        <w:rPr>
          <w:rFonts w:ascii="Calibri" w:eastAsia="Microsoft YaHei" w:hAnsi="Calibri" w:cs="Calibri"/>
          <w:sz w:val="22"/>
          <w:szCs w:val="22"/>
        </w:rPr>
        <w:t xml:space="preserve"> central enterprise to enter CATI Top 50.</w:t>
      </w:r>
    </w:p>
    <w:p w14:paraId="26E9179D" w14:textId="77777777" w:rsidR="006753EB" w:rsidRPr="00596EC2" w:rsidRDefault="006753EB" w:rsidP="00596EC2">
      <w:pPr>
        <w:jc w:val="both"/>
        <w:rPr>
          <w:rFonts w:ascii="Calibri" w:eastAsia="Microsoft YaHei" w:hAnsi="Calibri" w:cs="Calibri"/>
          <w:sz w:val="22"/>
          <w:szCs w:val="22"/>
        </w:rPr>
      </w:pPr>
    </w:p>
    <w:p w14:paraId="37F13775" w14:textId="77777777" w:rsidR="00B44579"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The 2021 rankings covered 662 key local and global companies across 30 industries</w:t>
      </w:r>
      <w:r w:rsidR="00B44579" w:rsidRPr="00596EC2">
        <w:rPr>
          <w:rFonts w:ascii="Calibri" w:eastAsia="Microsoft YaHei" w:hAnsi="Calibri" w:cs="Calibri" w:hint="eastAsia"/>
          <w:sz w:val="22"/>
          <w:szCs w:val="22"/>
        </w:rPr>
        <w:t xml:space="preserve">, covering the major </w:t>
      </w:r>
      <w:r w:rsidR="00B44579" w:rsidRPr="00596EC2">
        <w:rPr>
          <w:rFonts w:ascii="Calibri" w:eastAsia="Microsoft YaHei" w:hAnsi="Calibri" w:cs="Calibri"/>
          <w:sz w:val="22"/>
          <w:szCs w:val="22"/>
        </w:rPr>
        <w:t xml:space="preserve">global greenhouse gas emitting industries, of which the annual emissions disclosed by the key Chinese emitting enterprises </w:t>
      </w:r>
      <w:r w:rsidR="00B44579" w:rsidRPr="00596EC2">
        <w:rPr>
          <w:rFonts w:ascii="Calibri" w:eastAsia="Microsoft YaHei" w:hAnsi="Calibri" w:cs="Calibri" w:hint="eastAsia"/>
          <w:sz w:val="22"/>
          <w:szCs w:val="22"/>
        </w:rPr>
        <w:t xml:space="preserve">included in the assessment </w:t>
      </w:r>
      <w:r w:rsidR="00B44579" w:rsidRPr="00596EC2">
        <w:rPr>
          <w:rFonts w:ascii="Calibri" w:eastAsia="Microsoft YaHei" w:hAnsi="Calibri" w:cs="Calibri"/>
          <w:sz w:val="22"/>
          <w:szCs w:val="22"/>
        </w:rPr>
        <w:t xml:space="preserve">amount to approximately 1.45 billion </w:t>
      </w:r>
      <w:proofErr w:type="spellStart"/>
      <w:r w:rsidR="00B44579" w:rsidRPr="00596EC2">
        <w:rPr>
          <w:rFonts w:ascii="Calibri" w:eastAsia="Microsoft YaHei" w:hAnsi="Calibri" w:cs="Calibri"/>
          <w:sz w:val="22"/>
          <w:szCs w:val="22"/>
        </w:rPr>
        <w:t>tonnes</w:t>
      </w:r>
      <w:proofErr w:type="spellEnd"/>
      <w:r w:rsidR="00B44579" w:rsidRPr="00596EC2">
        <w:rPr>
          <w:rFonts w:ascii="Calibri" w:eastAsia="Microsoft YaHei" w:hAnsi="Calibri" w:cs="Calibri"/>
          <w:sz w:val="22"/>
          <w:szCs w:val="22"/>
        </w:rPr>
        <w:t>.</w:t>
      </w:r>
      <w:r w:rsidRPr="00596EC2">
        <w:rPr>
          <w:rFonts w:ascii="Calibri" w:eastAsia="Microsoft YaHei" w:hAnsi="Calibri" w:cs="Calibri"/>
          <w:sz w:val="22"/>
          <w:szCs w:val="22"/>
        </w:rPr>
        <w:t xml:space="preserve"> The evaluations conducted by IPE show that a number of leading local and global brands have made climate and environmental commitments, continuously extended their management to the upstream supply chain, and empowered their suppliers in China to calculate and disclose their emissions, as well as setting targets via innovative technologies. </w:t>
      </w:r>
    </w:p>
    <w:p w14:paraId="034723CA" w14:textId="77777777" w:rsidR="00B44579" w:rsidRPr="00596EC2" w:rsidRDefault="00B44579" w:rsidP="00596EC2">
      <w:pPr>
        <w:jc w:val="both"/>
        <w:rPr>
          <w:rFonts w:ascii="Calibri" w:eastAsia="Microsoft YaHei" w:hAnsi="Calibri" w:cs="Calibri"/>
          <w:sz w:val="22"/>
          <w:szCs w:val="22"/>
        </w:rPr>
      </w:pPr>
    </w:p>
    <w:p w14:paraId="32B0A599" w14:textId="3BE96151"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With China setting its dual carbon target</w:t>
      </w:r>
      <w:r w:rsidR="00D901AB" w:rsidRPr="00596EC2">
        <w:rPr>
          <w:rFonts w:ascii="Calibri" w:eastAsia="Microsoft YaHei" w:hAnsi="Calibri" w:cs="Calibri"/>
          <w:sz w:val="22"/>
          <w:szCs w:val="22"/>
        </w:rPr>
        <w:t>s</w:t>
      </w:r>
      <w:r w:rsidRPr="00596EC2">
        <w:rPr>
          <w:rFonts w:ascii="Calibri" w:eastAsia="Microsoft YaHei" w:hAnsi="Calibri" w:cs="Calibri"/>
          <w:sz w:val="22"/>
          <w:szCs w:val="22"/>
        </w:rPr>
        <w:t xml:space="preserve">, a group of Chinese manufacturing companies are also taking proactive actions. To evaluate the effectiveness of their climate action, IPE included 58 listed companies </w:t>
      </w:r>
      <w:r w:rsidR="00323A45" w:rsidRPr="00596EC2">
        <w:rPr>
          <w:rFonts w:ascii="Calibri" w:eastAsia="Microsoft YaHei" w:hAnsi="Calibri" w:cs="Calibri" w:hint="eastAsia"/>
          <w:sz w:val="22"/>
          <w:szCs w:val="22"/>
        </w:rPr>
        <w:t xml:space="preserve">controlled by </w:t>
      </w:r>
      <w:r w:rsidRPr="00596EC2">
        <w:rPr>
          <w:rFonts w:ascii="Calibri" w:eastAsia="Microsoft YaHei" w:hAnsi="Calibri" w:cs="Calibri"/>
          <w:sz w:val="22"/>
          <w:szCs w:val="22"/>
        </w:rPr>
        <w:t>central enterprises in this year’s CATI evaluation under the technical guidance of Chinese Research Academy of Environmental Sciences (CRAES). Results showed that their climate governance exceeds the rest of the companies in the Greater China region.</w:t>
      </w:r>
    </w:p>
    <w:p w14:paraId="330D8642" w14:textId="086F16BC" w:rsidR="00A55036" w:rsidRPr="00596EC2" w:rsidRDefault="00A55036" w:rsidP="00596EC2">
      <w:pPr>
        <w:jc w:val="both"/>
        <w:rPr>
          <w:rFonts w:ascii="Calibri" w:eastAsia="Microsoft YaHei" w:hAnsi="Calibri" w:cs="Calibri"/>
          <w:sz w:val="22"/>
          <w:szCs w:val="22"/>
        </w:rPr>
      </w:pPr>
    </w:p>
    <w:p w14:paraId="27466C45" w14:textId="6E5A03E1"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2021 experienced more natural disasters due to climate change. In August,</w:t>
      </w:r>
      <w:r w:rsidR="00AA5C41" w:rsidRPr="00596EC2">
        <w:rPr>
          <w:rFonts w:ascii="Calibri" w:eastAsia="Microsoft YaHei" w:hAnsi="Calibri" w:cs="Calibri"/>
          <w:sz w:val="22"/>
          <w:szCs w:val="22"/>
        </w:rPr>
        <w:t xml:space="preserve"> the UN </w:t>
      </w:r>
      <w:r w:rsidR="00874668" w:rsidRPr="00596EC2">
        <w:rPr>
          <w:rFonts w:ascii="Calibri" w:eastAsia="Microsoft YaHei" w:hAnsi="Calibri" w:cs="Calibri"/>
          <w:sz w:val="22"/>
          <w:szCs w:val="22"/>
        </w:rPr>
        <w:t>S</w:t>
      </w:r>
      <w:r w:rsidR="00AA5C41" w:rsidRPr="00596EC2">
        <w:rPr>
          <w:rFonts w:ascii="Calibri" w:eastAsia="Microsoft YaHei" w:hAnsi="Calibri" w:cs="Calibri"/>
          <w:sz w:val="22"/>
          <w:szCs w:val="22"/>
        </w:rPr>
        <w:t xml:space="preserve">ecretary </w:t>
      </w:r>
      <w:r w:rsidR="00874668" w:rsidRPr="00596EC2">
        <w:rPr>
          <w:rFonts w:ascii="Calibri" w:eastAsia="Microsoft YaHei" w:hAnsi="Calibri" w:cs="Calibri"/>
          <w:sz w:val="22"/>
          <w:szCs w:val="22"/>
        </w:rPr>
        <w:t>G</w:t>
      </w:r>
      <w:r w:rsidR="00AA5C41" w:rsidRPr="00596EC2">
        <w:rPr>
          <w:rFonts w:ascii="Calibri" w:eastAsia="Microsoft YaHei" w:hAnsi="Calibri" w:cs="Calibri"/>
          <w:sz w:val="22"/>
          <w:szCs w:val="22"/>
        </w:rPr>
        <w:t xml:space="preserve">eneral called the sixth assessment report from the Intergovernmental Panel on Climate Change (IPCC) a “code red for humanity”. </w:t>
      </w:r>
      <w:r w:rsidRPr="00596EC2">
        <w:rPr>
          <w:rFonts w:ascii="Calibri" w:eastAsia="Microsoft YaHei" w:hAnsi="Calibri" w:cs="Calibri"/>
          <w:sz w:val="22"/>
          <w:szCs w:val="22"/>
        </w:rPr>
        <w:t xml:space="preserve">With more </w:t>
      </w:r>
      <w:r w:rsidR="00AA5C41" w:rsidRPr="00596EC2">
        <w:rPr>
          <w:rFonts w:ascii="Calibri" w:eastAsia="Microsoft YaHei" w:hAnsi="Calibri" w:cs="Calibri"/>
          <w:sz w:val="22"/>
          <w:szCs w:val="22"/>
        </w:rPr>
        <w:t>than 120 countries joining the G</w:t>
      </w:r>
      <w:r w:rsidRPr="00596EC2">
        <w:rPr>
          <w:rFonts w:ascii="Calibri" w:eastAsia="Microsoft YaHei" w:hAnsi="Calibri" w:cs="Calibri"/>
          <w:sz w:val="22"/>
          <w:szCs w:val="22"/>
        </w:rPr>
        <w:t xml:space="preserve">lobal Race to Zero, China is developing its 1+N policy system to achieve its dual carbon </w:t>
      </w:r>
      <w:r w:rsidR="00D901AB" w:rsidRPr="00596EC2">
        <w:rPr>
          <w:rFonts w:ascii="Calibri" w:eastAsia="Microsoft YaHei" w:hAnsi="Calibri" w:cs="Calibri"/>
          <w:sz w:val="22"/>
          <w:szCs w:val="22"/>
        </w:rPr>
        <w:t>targets</w:t>
      </w:r>
      <w:r w:rsidRPr="00596EC2">
        <w:rPr>
          <w:rFonts w:ascii="Calibri" w:eastAsia="Microsoft YaHei" w:hAnsi="Calibri" w:cs="Calibri"/>
          <w:sz w:val="22"/>
          <w:szCs w:val="22"/>
        </w:rPr>
        <w:t>. Most recently, China's pledge to stop building new coal-fired power plants overseas </w:t>
      </w:r>
      <w:r w:rsidR="00DF49E4" w:rsidRPr="00596EC2">
        <w:rPr>
          <w:rFonts w:ascii="Calibri" w:eastAsia="Microsoft YaHei" w:hAnsi="Calibri" w:cs="Calibri"/>
          <w:sz w:val="22"/>
          <w:szCs w:val="22"/>
        </w:rPr>
        <w:t>reiterated</w:t>
      </w:r>
      <w:r w:rsidRPr="00596EC2">
        <w:rPr>
          <w:rFonts w:ascii="Calibri" w:eastAsia="Microsoft YaHei" w:hAnsi="Calibri" w:cs="Calibri"/>
          <w:sz w:val="22"/>
          <w:szCs w:val="22"/>
        </w:rPr>
        <w:t xml:space="preserve"> its determination to become a global leader in climate governance. On the other hand, recent energy and power crunch around the world remind us of the challenges to </w:t>
      </w:r>
      <w:r w:rsidR="00B762EE" w:rsidRPr="00596EC2">
        <w:rPr>
          <w:rFonts w:ascii="Calibri" w:eastAsia="Microsoft YaHei" w:hAnsi="Calibri" w:cs="Calibri"/>
          <w:sz w:val="22"/>
          <w:szCs w:val="22"/>
        </w:rPr>
        <w:t>achieve</w:t>
      </w:r>
      <w:r w:rsidRPr="00596EC2">
        <w:rPr>
          <w:rFonts w:ascii="Calibri" w:eastAsia="Microsoft YaHei" w:hAnsi="Calibri" w:cs="Calibri"/>
          <w:sz w:val="22"/>
          <w:szCs w:val="22"/>
        </w:rPr>
        <w:t xml:space="preserve"> carbon peak and carbon neutrality. Not only because major economies embracing fossil fuels will generate a </w:t>
      </w:r>
      <w:r w:rsidR="00B762EE" w:rsidRPr="00596EC2">
        <w:rPr>
          <w:rFonts w:ascii="Calibri" w:eastAsia="Microsoft YaHei" w:hAnsi="Calibri" w:cs="Calibri"/>
          <w:sz w:val="22"/>
          <w:szCs w:val="22"/>
        </w:rPr>
        <w:t>foreseeable</w:t>
      </w:r>
      <w:r w:rsidRPr="00596EC2">
        <w:rPr>
          <w:rFonts w:ascii="Calibri" w:eastAsia="Microsoft YaHei" w:hAnsi="Calibri" w:cs="Calibri"/>
          <w:sz w:val="22"/>
          <w:szCs w:val="22"/>
        </w:rPr>
        <w:t xml:space="preserve"> rebound in carbon emissions, the shortage of energy and electricity will also bring significant impact to the global supply chain.</w:t>
      </w:r>
    </w:p>
    <w:p w14:paraId="1B28BB31" w14:textId="77777777" w:rsidR="006753EB" w:rsidRPr="00596EC2" w:rsidRDefault="006753EB" w:rsidP="00596EC2">
      <w:pPr>
        <w:jc w:val="both"/>
        <w:rPr>
          <w:rFonts w:ascii="Calibri" w:eastAsia="Microsoft YaHei" w:hAnsi="Calibri" w:cs="Calibri"/>
          <w:sz w:val="22"/>
          <w:szCs w:val="22"/>
        </w:rPr>
      </w:pPr>
    </w:p>
    <w:p w14:paraId="3D3E266C" w14:textId="59091178" w:rsidR="00A3167F"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As COP26 approaches, there is an urgent need for companies to play a greater part in global climate governance</w:t>
      </w:r>
      <w:r w:rsidR="00251835" w:rsidRPr="00596EC2">
        <w:rPr>
          <w:rFonts w:ascii="Calibri" w:eastAsia="Microsoft YaHei" w:hAnsi="Calibri" w:cs="Calibri"/>
          <w:sz w:val="22"/>
          <w:szCs w:val="22"/>
        </w:rPr>
        <w:t>, whilst</w:t>
      </w:r>
      <w:r w:rsidR="004F308F" w:rsidRPr="00596EC2">
        <w:rPr>
          <w:rFonts w:ascii="Calibri" w:eastAsia="Microsoft YaHei" w:hAnsi="Calibri" w:cs="Calibri"/>
          <w:sz w:val="22"/>
          <w:szCs w:val="22"/>
        </w:rPr>
        <w:t xml:space="preserve"> m</w:t>
      </w:r>
      <w:r w:rsidRPr="00596EC2">
        <w:rPr>
          <w:rFonts w:ascii="Calibri" w:eastAsia="Microsoft YaHei" w:hAnsi="Calibri" w:cs="Calibri"/>
          <w:sz w:val="22"/>
          <w:szCs w:val="22"/>
        </w:rPr>
        <w:t xml:space="preserve">anaging the environmental risks and extending carbon actions to the supply chain </w:t>
      </w:r>
      <w:r w:rsidR="00187B9D" w:rsidRPr="00596EC2">
        <w:rPr>
          <w:rFonts w:ascii="Calibri" w:eastAsia="Microsoft YaHei" w:hAnsi="Calibri" w:cs="Calibri" w:hint="eastAsia"/>
          <w:sz w:val="22"/>
          <w:szCs w:val="22"/>
        </w:rPr>
        <w:t>is</w:t>
      </w:r>
      <w:r w:rsidR="00187B9D" w:rsidRPr="00596EC2">
        <w:rPr>
          <w:rFonts w:ascii="Calibri" w:eastAsia="Microsoft YaHei" w:hAnsi="Calibri" w:cs="Calibri"/>
          <w:sz w:val="22"/>
          <w:szCs w:val="22"/>
        </w:rPr>
        <w:t xml:space="preserve"> no </w:t>
      </w:r>
      <w:r w:rsidR="00B762EE" w:rsidRPr="00596EC2">
        <w:rPr>
          <w:rFonts w:ascii="Calibri" w:eastAsia="Microsoft YaHei" w:hAnsi="Calibri" w:cs="Calibri"/>
          <w:sz w:val="22"/>
          <w:szCs w:val="22"/>
        </w:rPr>
        <w:t>longer</w:t>
      </w:r>
      <w:r w:rsidR="00187B9D" w:rsidRPr="00596EC2">
        <w:rPr>
          <w:rFonts w:ascii="Calibri" w:eastAsia="Microsoft YaHei" w:hAnsi="Calibri" w:cs="Calibri"/>
          <w:sz w:val="22"/>
          <w:szCs w:val="22"/>
        </w:rPr>
        <w:t xml:space="preserve"> </w:t>
      </w:r>
      <w:r w:rsidRPr="00596EC2">
        <w:rPr>
          <w:rFonts w:ascii="Calibri" w:eastAsia="Microsoft YaHei" w:hAnsi="Calibri" w:cs="Calibri"/>
          <w:sz w:val="22"/>
          <w:szCs w:val="22"/>
        </w:rPr>
        <w:t xml:space="preserve">a </w:t>
      </w:r>
      <w:r w:rsidR="00A13B01" w:rsidRPr="00596EC2">
        <w:rPr>
          <w:rFonts w:ascii="Calibri" w:eastAsia="Microsoft YaHei" w:hAnsi="Calibri" w:cs="Calibri"/>
          <w:sz w:val="22"/>
          <w:szCs w:val="22"/>
        </w:rPr>
        <w:t>mere</w:t>
      </w:r>
      <w:r w:rsidRPr="00596EC2">
        <w:rPr>
          <w:rFonts w:ascii="Calibri" w:eastAsia="Microsoft YaHei" w:hAnsi="Calibri" w:cs="Calibri"/>
          <w:sz w:val="22"/>
          <w:szCs w:val="22"/>
        </w:rPr>
        <w:t xml:space="preserve"> issue of corporate social responsibility. "In the next decade, ensuring environmental compliance and managing carbon emissions </w:t>
      </w:r>
      <w:r w:rsidR="008E4E2A" w:rsidRPr="00596EC2">
        <w:rPr>
          <w:rFonts w:ascii="Calibri" w:eastAsia="Microsoft YaHei" w:hAnsi="Calibri" w:cs="Calibri"/>
          <w:sz w:val="22"/>
          <w:szCs w:val="22"/>
        </w:rPr>
        <w:t>along the supply chain, especially</w:t>
      </w:r>
      <w:r w:rsidRPr="00596EC2">
        <w:rPr>
          <w:rFonts w:ascii="Calibri" w:eastAsia="Microsoft YaHei" w:hAnsi="Calibri" w:cs="Calibri"/>
          <w:sz w:val="22"/>
          <w:szCs w:val="22"/>
        </w:rPr>
        <w:t xml:space="preserve"> to the upstream will become the cornerstone to a s</w:t>
      </w:r>
      <w:r w:rsidR="00D2099F" w:rsidRPr="00596EC2">
        <w:rPr>
          <w:rFonts w:ascii="Calibri" w:eastAsia="Microsoft YaHei" w:hAnsi="Calibri" w:cs="Calibri"/>
          <w:sz w:val="22"/>
          <w:szCs w:val="22"/>
        </w:rPr>
        <w:t>ustainable business," said IPE</w:t>
      </w:r>
      <w:r w:rsidRPr="00596EC2">
        <w:rPr>
          <w:rFonts w:ascii="Calibri" w:eastAsia="Microsoft YaHei" w:hAnsi="Calibri" w:cs="Calibri"/>
          <w:sz w:val="22"/>
          <w:szCs w:val="22"/>
        </w:rPr>
        <w:t xml:space="preserve"> Director Ma Jun, "Brands, suppliers and investors must not cling to ‘business as usual’. Instead, they should leverage more innovative solutions."</w:t>
      </w:r>
    </w:p>
    <w:p w14:paraId="1586C8AE" w14:textId="77777777" w:rsidR="00A3167F" w:rsidRPr="00596EC2" w:rsidRDefault="00A3167F" w:rsidP="00596EC2">
      <w:pPr>
        <w:jc w:val="both"/>
        <w:rPr>
          <w:rFonts w:ascii="Calibri" w:eastAsia="Microsoft YaHei" w:hAnsi="Calibri" w:cs="Calibri"/>
          <w:sz w:val="22"/>
          <w:szCs w:val="22"/>
        </w:rPr>
      </w:pPr>
    </w:p>
    <w:p w14:paraId="20AF903B" w14:textId="20B98B3E"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lastRenderedPageBreak/>
        <w:t xml:space="preserve">To guide enterprises to undertake their environmental and climate responsibilities, IPE has significantly increased the weight of climate governance in this year’s Green Supply Chain CITI evaluation. Moreover, with the technical guidance of CRAES, IPE </w:t>
      </w:r>
      <w:r w:rsidR="009D2CDE" w:rsidRPr="00596EC2">
        <w:rPr>
          <w:rFonts w:ascii="Calibri" w:eastAsia="Microsoft YaHei" w:hAnsi="Calibri" w:cs="Calibri"/>
          <w:sz w:val="22"/>
          <w:szCs w:val="22"/>
        </w:rPr>
        <w:t xml:space="preserve">has </w:t>
      </w:r>
      <w:r w:rsidRPr="00596EC2">
        <w:rPr>
          <w:rFonts w:ascii="Calibri" w:eastAsia="Microsoft YaHei" w:hAnsi="Calibri" w:cs="Calibri"/>
          <w:sz w:val="22"/>
          <w:szCs w:val="22"/>
        </w:rPr>
        <w:t xml:space="preserve">upgraded the </w:t>
      </w:r>
      <w:r w:rsidR="009D2CDE" w:rsidRPr="00596EC2">
        <w:rPr>
          <w:rFonts w:ascii="Calibri" w:eastAsia="Microsoft YaHei" w:hAnsi="Calibri" w:cs="Calibri"/>
          <w:sz w:val="22"/>
          <w:szCs w:val="22"/>
        </w:rPr>
        <w:t>Supply Chain Climate Action Index (</w:t>
      </w:r>
      <w:r w:rsidRPr="00596EC2">
        <w:rPr>
          <w:rFonts w:ascii="Calibri" w:eastAsia="Microsoft YaHei" w:hAnsi="Calibri" w:cs="Calibri"/>
          <w:sz w:val="22"/>
          <w:szCs w:val="22"/>
        </w:rPr>
        <w:t>SCTI</w:t>
      </w:r>
      <w:r w:rsidR="009D2CDE" w:rsidRPr="00596EC2">
        <w:rPr>
          <w:rFonts w:ascii="Calibri" w:eastAsia="Microsoft YaHei" w:hAnsi="Calibri" w:cs="Calibri"/>
          <w:sz w:val="22"/>
          <w:szCs w:val="22"/>
        </w:rPr>
        <w:t>)</w:t>
      </w:r>
      <w:r w:rsidR="00323A45" w:rsidRPr="00596EC2">
        <w:rPr>
          <w:rFonts w:ascii="Calibri" w:eastAsia="Microsoft YaHei" w:hAnsi="Calibri" w:cs="Calibri"/>
          <w:sz w:val="22"/>
          <w:szCs w:val="22"/>
        </w:rPr>
        <w:t xml:space="preserve"> to </w:t>
      </w:r>
      <w:r w:rsidR="00323A45" w:rsidRPr="00596EC2">
        <w:rPr>
          <w:rFonts w:ascii="Calibri" w:eastAsia="Microsoft YaHei" w:hAnsi="Calibri" w:cs="Calibri" w:hint="eastAsia"/>
          <w:sz w:val="22"/>
          <w:szCs w:val="22"/>
        </w:rPr>
        <w:t>C</w:t>
      </w:r>
      <w:r w:rsidRPr="00596EC2">
        <w:rPr>
          <w:rFonts w:ascii="Calibri" w:eastAsia="Microsoft YaHei" w:hAnsi="Calibri" w:cs="Calibri"/>
          <w:sz w:val="22"/>
          <w:szCs w:val="22"/>
        </w:rPr>
        <w:t xml:space="preserve">orporate Climate Action Transparency Index (CATI) to motivate more industries and enterprises to deepen their </w:t>
      </w:r>
      <w:r w:rsidR="009D2CDE" w:rsidRPr="00596EC2">
        <w:rPr>
          <w:rFonts w:ascii="Calibri" w:eastAsia="Microsoft YaHei" w:hAnsi="Calibri" w:cs="Calibri"/>
          <w:sz w:val="22"/>
          <w:szCs w:val="22"/>
        </w:rPr>
        <w:t xml:space="preserve">commitment </w:t>
      </w:r>
      <w:r w:rsidRPr="00596EC2">
        <w:rPr>
          <w:rFonts w:ascii="Calibri" w:eastAsia="Microsoft YaHei" w:hAnsi="Calibri" w:cs="Calibri"/>
          <w:sz w:val="22"/>
          <w:szCs w:val="22"/>
        </w:rPr>
        <w:t xml:space="preserve">to China's dual carbon </w:t>
      </w:r>
      <w:r w:rsidR="00D901AB" w:rsidRPr="00596EC2">
        <w:rPr>
          <w:rFonts w:ascii="Calibri" w:eastAsia="Microsoft YaHei" w:hAnsi="Calibri" w:cs="Calibri"/>
          <w:sz w:val="22"/>
          <w:szCs w:val="22"/>
        </w:rPr>
        <w:t>targets</w:t>
      </w:r>
      <w:r w:rsidRPr="00596EC2">
        <w:rPr>
          <w:rFonts w:ascii="Calibri" w:eastAsia="Microsoft YaHei" w:hAnsi="Calibri" w:cs="Calibri"/>
          <w:sz w:val="22"/>
          <w:szCs w:val="22"/>
        </w:rPr>
        <w:t xml:space="preserve"> and global climate governance. CATI not only makes indicators on measurement &amp; disclosure, targets &amp; performance, and climate action much more granular, but also incorporates more innovative solutions in the evaluation criteria. By adding weighting factors, CATI can assess both companies who outsource their production to suppliers as well as those manufacturing companies. </w:t>
      </w:r>
    </w:p>
    <w:p w14:paraId="2B67D810" w14:textId="77777777" w:rsidR="006753EB" w:rsidRPr="00596EC2" w:rsidRDefault="006753EB" w:rsidP="00596EC2">
      <w:pPr>
        <w:jc w:val="both"/>
        <w:rPr>
          <w:rFonts w:ascii="Calibri" w:eastAsia="Microsoft YaHei" w:hAnsi="Calibri" w:cs="Calibri"/>
        </w:rPr>
      </w:pPr>
    </w:p>
    <w:p w14:paraId="59DB40FE" w14:textId="61F52803" w:rsidR="00DE79D9" w:rsidRDefault="00A57E45" w:rsidP="00596EC2">
      <w:pPr>
        <w:jc w:val="both"/>
        <w:rPr>
          <w:rFonts w:ascii="Calibri" w:eastAsia="Microsoft YaHei" w:hAnsi="Calibri" w:cs="Calibri"/>
          <w:sz w:val="22"/>
          <w:szCs w:val="22"/>
        </w:rPr>
      </w:pPr>
      <w:r w:rsidRPr="00596EC2">
        <w:rPr>
          <w:rFonts w:ascii="Calibri" w:eastAsia="Microsoft YaHei" w:hAnsi="Calibri" w:cs="Calibri"/>
          <w:sz w:val="22"/>
          <w:szCs w:val="22"/>
        </w:rPr>
        <w:t>“We need to</w:t>
      </w:r>
      <w:r w:rsidR="006753EB" w:rsidRPr="00596EC2">
        <w:rPr>
          <w:rFonts w:ascii="Calibri" w:eastAsia="Microsoft YaHei" w:hAnsi="Calibri" w:cs="Calibri"/>
          <w:sz w:val="22"/>
          <w:szCs w:val="22"/>
        </w:rPr>
        <w:t xml:space="preserve"> start a </w:t>
      </w:r>
      <w:r w:rsidRPr="00596EC2">
        <w:rPr>
          <w:rFonts w:ascii="Calibri" w:eastAsia="Microsoft YaHei" w:hAnsi="Calibri" w:cs="Calibri"/>
          <w:sz w:val="22"/>
          <w:szCs w:val="22"/>
        </w:rPr>
        <w:t>‘</w:t>
      </w:r>
      <w:r w:rsidR="006753EB" w:rsidRPr="00596EC2">
        <w:rPr>
          <w:rFonts w:ascii="Calibri" w:eastAsia="Microsoft YaHei" w:hAnsi="Calibri" w:cs="Calibri"/>
          <w:sz w:val="22"/>
          <w:szCs w:val="22"/>
        </w:rPr>
        <w:t>virtuous circle</w:t>
      </w:r>
      <w:r w:rsidRPr="00596EC2">
        <w:rPr>
          <w:rFonts w:ascii="Calibri" w:eastAsia="Microsoft YaHei" w:hAnsi="Calibri" w:cs="Calibri"/>
          <w:sz w:val="22"/>
          <w:szCs w:val="22"/>
        </w:rPr>
        <w:t>’</w:t>
      </w:r>
      <w:r w:rsidR="006753EB" w:rsidRPr="00596EC2">
        <w:rPr>
          <w:rFonts w:ascii="Calibri" w:eastAsia="Microsoft YaHei" w:hAnsi="Calibri" w:cs="Calibri"/>
          <w:sz w:val="22"/>
          <w:szCs w:val="22"/>
        </w:rPr>
        <w:t xml:space="preserve"> in which one industrial actor’s proactivity, or one enterprise’s proactivity also inspires others to reduce carbon emissions and eventually build indirect pressure that new industry</w:t>
      </w:r>
      <w:r w:rsidRPr="00596EC2">
        <w:rPr>
          <w:rFonts w:ascii="Calibri" w:eastAsia="Microsoft YaHei" w:hAnsi="Calibri" w:cs="Calibri"/>
          <w:sz w:val="22"/>
          <w:szCs w:val="22"/>
        </w:rPr>
        <w:t xml:space="preserve"> </w:t>
      </w:r>
      <w:r w:rsidR="006753EB" w:rsidRPr="00596EC2">
        <w:rPr>
          <w:rFonts w:ascii="Calibri" w:eastAsia="Microsoft YaHei" w:hAnsi="Calibri" w:cs="Calibri"/>
          <w:sz w:val="22"/>
          <w:szCs w:val="22"/>
        </w:rPr>
        <w:t>norms emerge in which all companies are continuously interrogating themselves, and especially their supply chains.</w:t>
      </w:r>
      <w:r w:rsidR="00650E09" w:rsidRPr="00596EC2">
        <w:rPr>
          <w:rFonts w:ascii="Calibri" w:eastAsia="Microsoft YaHei" w:hAnsi="Calibri" w:cs="Calibri"/>
          <w:sz w:val="22"/>
          <w:szCs w:val="22"/>
        </w:rPr>
        <w:t xml:space="preserve">” </w:t>
      </w:r>
      <w:r w:rsidR="00C467CC" w:rsidRPr="00596EC2">
        <w:rPr>
          <w:rFonts w:ascii="Calibri" w:eastAsia="Microsoft YaHei" w:hAnsi="Calibri" w:cs="Calibri"/>
          <w:sz w:val="22"/>
          <w:szCs w:val="22"/>
        </w:rPr>
        <w:t>s</w:t>
      </w:r>
      <w:r w:rsidR="00650E09" w:rsidRPr="00596EC2">
        <w:rPr>
          <w:rFonts w:ascii="Calibri" w:eastAsia="Microsoft YaHei" w:hAnsi="Calibri" w:cs="Calibri"/>
          <w:sz w:val="22"/>
          <w:szCs w:val="22"/>
        </w:rPr>
        <w:t xml:space="preserve">ays </w:t>
      </w:r>
      <w:r w:rsidR="00C467CC" w:rsidRPr="00596EC2">
        <w:rPr>
          <w:rFonts w:ascii="Calibri" w:eastAsia="Microsoft YaHei" w:hAnsi="Calibri" w:cs="Calibri"/>
          <w:sz w:val="22"/>
          <w:szCs w:val="22"/>
        </w:rPr>
        <w:t xml:space="preserve">Dr. Paul </w:t>
      </w:r>
      <w:proofErr w:type="spellStart"/>
      <w:r w:rsidR="00C467CC" w:rsidRPr="00596EC2">
        <w:rPr>
          <w:rFonts w:ascii="Calibri" w:eastAsia="Microsoft YaHei" w:hAnsi="Calibri" w:cs="Calibri"/>
          <w:sz w:val="22"/>
          <w:szCs w:val="22"/>
        </w:rPr>
        <w:t>Joscha</w:t>
      </w:r>
      <w:proofErr w:type="spellEnd"/>
      <w:r w:rsidR="00C467CC" w:rsidRPr="00596EC2">
        <w:rPr>
          <w:rFonts w:ascii="Calibri" w:eastAsia="Microsoft YaHei" w:hAnsi="Calibri" w:cs="Calibri"/>
          <w:sz w:val="22"/>
          <w:szCs w:val="22"/>
        </w:rPr>
        <w:t xml:space="preserve"> </w:t>
      </w:r>
      <w:proofErr w:type="spellStart"/>
      <w:r w:rsidR="00C467CC" w:rsidRPr="00596EC2">
        <w:rPr>
          <w:rFonts w:ascii="Calibri" w:eastAsia="Microsoft YaHei" w:hAnsi="Calibri" w:cs="Calibri"/>
          <w:sz w:val="22"/>
          <w:szCs w:val="22"/>
        </w:rPr>
        <w:t>Kohlenberg</w:t>
      </w:r>
      <w:proofErr w:type="spellEnd"/>
      <w:r w:rsidR="00C467CC" w:rsidRPr="00596EC2">
        <w:rPr>
          <w:rFonts w:ascii="Calibri" w:eastAsia="Microsoft YaHei" w:hAnsi="Calibri" w:cs="Calibri"/>
          <w:sz w:val="22"/>
          <w:szCs w:val="22"/>
        </w:rPr>
        <w:t>, Chief Representative of Heinrich-</w:t>
      </w:r>
      <w:proofErr w:type="spellStart"/>
      <w:r w:rsidR="00C467CC" w:rsidRPr="00596EC2">
        <w:rPr>
          <w:rFonts w:ascii="Calibri" w:eastAsia="Microsoft YaHei" w:hAnsi="Calibri" w:cs="Calibri"/>
          <w:sz w:val="22"/>
          <w:szCs w:val="22"/>
        </w:rPr>
        <w:t>Böll</w:t>
      </w:r>
      <w:proofErr w:type="spellEnd"/>
      <w:r w:rsidR="00C467CC" w:rsidRPr="00596EC2">
        <w:rPr>
          <w:rFonts w:ascii="Calibri" w:eastAsia="Microsoft YaHei" w:hAnsi="Calibri" w:cs="Calibri"/>
          <w:sz w:val="22"/>
          <w:szCs w:val="22"/>
        </w:rPr>
        <w:t>-</w:t>
      </w:r>
      <w:proofErr w:type="spellStart"/>
      <w:r w:rsidR="00C467CC" w:rsidRPr="00596EC2">
        <w:rPr>
          <w:rFonts w:ascii="Calibri" w:eastAsia="Microsoft YaHei" w:hAnsi="Calibri" w:cs="Calibri"/>
          <w:sz w:val="22"/>
          <w:szCs w:val="22"/>
        </w:rPr>
        <w:t>Stiftung</w:t>
      </w:r>
      <w:proofErr w:type="spellEnd"/>
      <w:r w:rsidR="00C467CC" w:rsidRPr="00596EC2">
        <w:rPr>
          <w:rFonts w:ascii="Calibri" w:eastAsia="Microsoft YaHei" w:hAnsi="Calibri" w:cs="Calibri"/>
          <w:sz w:val="22"/>
          <w:szCs w:val="22"/>
        </w:rPr>
        <w:t xml:space="preserve"> Beijing Representative Office</w:t>
      </w:r>
      <w:r w:rsidR="00FD4AAA" w:rsidRPr="00596EC2">
        <w:rPr>
          <w:rFonts w:ascii="Calibri" w:eastAsia="Microsoft YaHei" w:hAnsi="Calibri" w:cs="Calibri"/>
          <w:sz w:val="22"/>
          <w:szCs w:val="22"/>
        </w:rPr>
        <w:t>, a co-host to this year’s Forum. “</w:t>
      </w:r>
      <w:r w:rsidR="006753EB" w:rsidRPr="00596EC2">
        <w:rPr>
          <w:rFonts w:ascii="Calibri" w:eastAsia="Microsoft YaHei" w:hAnsi="Calibri" w:cs="Calibri"/>
          <w:sz w:val="22"/>
          <w:szCs w:val="22"/>
        </w:rPr>
        <w:t>IPE’s CATI index induces actors from different industries to enter such a virtuous circle.</w:t>
      </w:r>
      <w:r w:rsidR="00FD4AAA" w:rsidRPr="00596EC2">
        <w:rPr>
          <w:rFonts w:ascii="Calibri" w:eastAsia="Microsoft YaHei" w:hAnsi="Calibri" w:cs="Calibri"/>
          <w:sz w:val="22"/>
          <w:szCs w:val="22"/>
        </w:rPr>
        <w:t>”</w:t>
      </w:r>
    </w:p>
    <w:p w14:paraId="3E911279" w14:textId="77777777" w:rsidR="002245F3" w:rsidRPr="00596EC2" w:rsidRDefault="002245F3" w:rsidP="00596EC2">
      <w:pPr>
        <w:jc w:val="both"/>
        <w:rPr>
          <w:rFonts w:ascii="Calibri" w:eastAsia="Microsoft YaHei" w:hAnsi="Calibri" w:cs="Calibri"/>
          <w:sz w:val="22"/>
          <w:szCs w:val="22"/>
        </w:rPr>
      </w:pPr>
    </w:p>
    <w:p w14:paraId="2107A3D7" w14:textId="043BC98A" w:rsidR="00F17231" w:rsidRPr="00596EC2" w:rsidRDefault="00640A65" w:rsidP="00596EC2">
      <w:pPr>
        <w:jc w:val="both"/>
        <w:rPr>
          <w:rFonts w:ascii="Calibri" w:eastAsia="Microsoft YaHei" w:hAnsi="Calibri" w:cs="Calibri"/>
          <w:sz w:val="22"/>
          <w:szCs w:val="22"/>
        </w:rPr>
      </w:pPr>
      <w:r w:rsidRPr="00596EC2">
        <w:rPr>
          <w:rFonts w:ascii="Calibri" w:eastAsia="Microsoft YaHei" w:hAnsi="Calibri" w:cs="Calibri"/>
          <w:sz w:val="22"/>
          <w:szCs w:val="22"/>
        </w:rPr>
        <w:t>For the first time, IPE</w:t>
      </w:r>
      <w:r w:rsidR="00DE79D9" w:rsidRPr="00596EC2">
        <w:rPr>
          <w:rFonts w:ascii="Calibri" w:eastAsia="Microsoft YaHei" w:hAnsi="Calibri" w:cs="Calibri"/>
          <w:sz w:val="22"/>
          <w:szCs w:val="22"/>
        </w:rPr>
        <w:t xml:space="preserve"> </w:t>
      </w:r>
      <w:r w:rsidRPr="00596EC2">
        <w:rPr>
          <w:rFonts w:ascii="Calibri" w:eastAsia="Microsoft YaHei" w:hAnsi="Calibri" w:cs="Calibri"/>
          <w:sz w:val="22"/>
          <w:szCs w:val="22"/>
        </w:rPr>
        <w:t>included</w:t>
      </w:r>
      <w:r w:rsidR="00DE79D9" w:rsidRPr="00596EC2">
        <w:rPr>
          <w:rFonts w:ascii="Calibri" w:eastAsia="Microsoft YaHei" w:hAnsi="Calibri" w:cs="Calibri"/>
          <w:sz w:val="22"/>
          <w:szCs w:val="22"/>
        </w:rPr>
        <w:t xml:space="preserve"> 58 </w:t>
      </w:r>
      <w:r w:rsidR="005B6EA2" w:rsidRPr="00596EC2">
        <w:rPr>
          <w:rFonts w:ascii="Calibri" w:eastAsia="Microsoft YaHei" w:hAnsi="Calibri" w:cs="Calibri"/>
          <w:sz w:val="22"/>
          <w:szCs w:val="22"/>
        </w:rPr>
        <w:t>listed companies controlled by central enterprises</w:t>
      </w:r>
      <w:r w:rsidR="00DE79D9" w:rsidRPr="00596EC2">
        <w:rPr>
          <w:rFonts w:ascii="Calibri" w:eastAsia="Microsoft YaHei" w:hAnsi="Calibri" w:cs="Calibri"/>
          <w:sz w:val="22"/>
          <w:szCs w:val="22"/>
        </w:rPr>
        <w:t xml:space="preserve"> </w:t>
      </w:r>
      <w:r w:rsidRPr="00596EC2">
        <w:rPr>
          <w:rFonts w:ascii="Calibri" w:eastAsia="Microsoft YaHei" w:hAnsi="Calibri" w:cs="Calibri"/>
          <w:sz w:val="22"/>
          <w:szCs w:val="22"/>
        </w:rPr>
        <w:t xml:space="preserve">into this year’s CATI evaluation, making the total number of companies under evaluation to 662 and that of industries </w:t>
      </w:r>
      <w:r w:rsidR="00F17231" w:rsidRPr="00596EC2">
        <w:rPr>
          <w:rFonts w:ascii="Calibri" w:eastAsia="Microsoft YaHei" w:hAnsi="Calibri" w:cs="Calibri"/>
          <w:sz w:val="22"/>
          <w:szCs w:val="22"/>
        </w:rPr>
        <w:t>to 30</w:t>
      </w:r>
      <w:r w:rsidR="00FD5D35" w:rsidRPr="00596EC2">
        <w:rPr>
          <w:rFonts w:ascii="Calibri" w:eastAsia="Microsoft YaHei" w:hAnsi="Calibri" w:cs="Calibri" w:hint="eastAsia"/>
          <w:sz w:val="22"/>
          <w:szCs w:val="22"/>
        </w:rPr>
        <w:t xml:space="preserve">, including </w:t>
      </w:r>
      <w:r w:rsidR="00FD5D35" w:rsidRPr="00596EC2">
        <w:rPr>
          <w:rFonts w:ascii="Calibri" w:eastAsia="Microsoft YaHei" w:hAnsi="Calibri" w:cs="Calibri"/>
          <w:sz w:val="22"/>
          <w:szCs w:val="22"/>
        </w:rPr>
        <w:t>petrochemical, electric power, gas, non-ferrous, iron and steel, building materials, machinery and equipment, transportation, civil aviation, auto parts, photovoltaic industry and other industries</w:t>
      </w:r>
      <w:r w:rsidR="00FD5D35" w:rsidRPr="00596EC2">
        <w:rPr>
          <w:rFonts w:ascii="Calibri" w:eastAsia="Microsoft YaHei" w:hAnsi="Calibri" w:cs="Calibri" w:hint="eastAsia"/>
          <w:sz w:val="22"/>
          <w:szCs w:val="22"/>
        </w:rPr>
        <w:t xml:space="preserve">. </w:t>
      </w:r>
      <w:r w:rsidR="00F17231" w:rsidRPr="00596EC2">
        <w:rPr>
          <w:rFonts w:ascii="Calibri" w:eastAsia="Microsoft YaHei" w:hAnsi="Calibri" w:cs="Calibri"/>
          <w:sz w:val="22"/>
          <w:szCs w:val="22"/>
        </w:rPr>
        <w:t xml:space="preserve">The evaluation </w:t>
      </w:r>
      <w:r w:rsidR="00DE79D9" w:rsidRPr="00596EC2">
        <w:rPr>
          <w:rFonts w:ascii="Calibri" w:eastAsia="Microsoft YaHei" w:hAnsi="Calibri" w:cs="Calibri"/>
          <w:sz w:val="22"/>
          <w:szCs w:val="22"/>
        </w:rPr>
        <w:t>showed that 44% of enterprises disclosed their Scope 1 and Scope 2 emissions</w:t>
      </w:r>
      <w:r w:rsidR="00F17231" w:rsidRPr="00596EC2">
        <w:rPr>
          <w:rFonts w:ascii="Calibri" w:eastAsia="Microsoft YaHei" w:hAnsi="Calibri" w:cs="Calibri"/>
          <w:sz w:val="22"/>
          <w:szCs w:val="22"/>
        </w:rPr>
        <w:t>, and 27% set and disclosed their Scope 1 and Scope 2 emission</w:t>
      </w:r>
      <w:r w:rsidR="00FD4567" w:rsidRPr="00596EC2">
        <w:rPr>
          <w:rFonts w:ascii="Calibri" w:eastAsia="Microsoft YaHei" w:hAnsi="Calibri" w:cs="Calibri" w:hint="eastAsia"/>
          <w:sz w:val="22"/>
          <w:szCs w:val="22"/>
        </w:rPr>
        <w:t>s</w:t>
      </w:r>
      <w:r w:rsidR="00F17231" w:rsidRPr="00596EC2">
        <w:rPr>
          <w:rFonts w:ascii="Calibri" w:eastAsia="Microsoft YaHei" w:hAnsi="Calibri" w:cs="Calibri"/>
          <w:sz w:val="22"/>
          <w:szCs w:val="22"/>
        </w:rPr>
        <w:t xml:space="preserve"> reduction targets. </w:t>
      </w:r>
      <w:r w:rsidR="00DE79D9" w:rsidRPr="00596EC2">
        <w:rPr>
          <w:rFonts w:ascii="Calibri" w:eastAsia="Microsoft YaHei" w:hAnsi="Calibri" w:cs="Calibri"/>
          <w:sz w:val="22"/>
          <w:szCs w:val="22"/>
        </w:rPr>
        <w:t xml:space="preserve">In the first year after the announcement of China’s dual carbon targets, </w:t>
      </w:r>
      <w:r w:rsidR="00F17231" w:rsidRPr="00596EC2">
        <w:rPr>
          <w:rFonts w:ascii="Calibri" w:eastAsia="Microsoft YaHei" w:hAnsi="Calibri" w:cs="Calibri"/>
          <w:sz w:val="22"/>
          <w:szCs w:val="22"/>
        </w:rPr>
        <w:t>of the 58 listed enterprises evaluated, 78% disclosed GHG emissions for both Scope 1 and Scope 2</w:t>
      </w:r>
      <w:r w:rsidR="003E64F4" w:rsidRPr="00596EC2">
        <w:rPr>
          <w:rFonts w:ascii="Calibri" w:eastAsia="Microsoft YaHei" w:hAnsi="Calibri" w:cs="Calibri"/>
          <w:sz w:val="22"/>
          <w:szCs w:val="22"/>
        </w:rPr>
        <w:t>. Among them,</w:t>
      </w:r>
      <w:r w:rsidR="00F17231" w:rsidRPr="00596EC2">
        <w:rPr>
          <w:rFonts w:ascii="Calibri" w:eastAsia="Microsoft YaHei" w:hAnsi="Calibri" w:cs="Calibri"/>
          <w:sz w:val="22"/>
          <w:szCs w:val="22"/>
        </w:rPr>
        <w:t xml:space="preserve"> </w:t>
      </w:r>
      <w:r w:rsidR="00DE79D9" w:rsidRPr="00596EC2">
        <w:rPr>
          <w:rFonts w:ascii="Calibri" w:eastAsia="Microsoft YaHei" w:hAnsi="Calibri" w:cs="Calibri"/>
          <w:sz w:val="22"/>
          <w:szCs w:val="22"/>
        </w:rPr>
        <w:t xml:space="preserve">Sinopec, </w:t>
      </w:r>
      <w:proofErr w:type="spellStart"/>
      <w:r w:rsidR="00DE79D9" w:rsidRPr="00596EC2">
        <w:rPr>
          <w:rFonts w:ascii="Calibri" w:eastAsia="Microsoft YaHei" w:hAnsi="Calibri" w:cs="Calibri"/>
          <w:sz w:val="22"/>
          <w:szCs w:val="22"/>
        </w:rPr>
        <w:t>PetroChina</w:t>
      </w:r>
      <w:proofErr w:type="spellEnd"/>
      <w:r w:rsidR="00DE79D9" w:rsidRPr="00596EC2">
        <w:rPr>
          <w:rFonts w:ascii="Calibri" w:eastAsia="Microsoft YaHei" w:hAnsi="Calibri" w:cs="Calibri"/>
          <w:sz w:val="22"/>
          <w:szCs w:val="22"/>
        </w:rPr>
        <w:t xml:space="preserve"> and </w:t>
      </w:r>
      <w:proofErr w:type="spellStart"/>
      <w:r w:rsidR="00DE79D9" w:rsidRPr="00596EC2">
        <w:rPr>
          <w:rFonts w:ascii="Calibri" w:eastAsia="Microsoft YaHei" w:hAnsi="Calibri" w:cs="Calibri"/>
          <w:sz w:val="22"/>
          <w:szCs w:val="22"/>
        </w:rPr>
        <w:t>Baosteel</w:t>
      </w:r>
      <w:proofErr w:type="spellEnd"/>
      <w:r w:rsidR="00DE79D9" w:rsidRPr="00596EC2">
        <w:rPr>
          <w:rFonts w:ascii="Calibri" w:eastAsia="Microsoft YaHei" w:hAnsi="Calibri" w:cs="Calibri"/>
          <w:sz w:val="22"/>
          <w:szCs w:val="22"/>
        </w:rPr>
        <w:t xml:space="preserve"> disclosed their carbon peak and carbon neutral targets, while 55% of those listed companies also took action to reduce GHG emissions from their own operations. </w:t>
      </w:r>
    </w:p>
    <w:p w14:paraId="225D2BE5" w14:textId="77777777" w:rsidR="00DE79D9" w:rsidRPr="00596EC2" w:rsidRDefault="00DE79D9" w:rsidP="00596EC2">
      <w:pPr>
        <w:jc w:val="both"/>
        <w:rPr>
          <w:rFonts w:ascii="Calibri" w:eastAsia="Microsoft YaHei" w:hAnsi="Calibri" w:cs="Calibri"/>
          <w:sz w:val="22"/>
          <w:szCs w:val="22"/>
        </w:rPr>
      </w:pPr>
    </w:p>
    <w:p w14:paraId="47C63FC5" w14:textId="5B00341D" w:rsidR="00602CF5" w:rsidRPr="00596EC2" w:rsidRDefault="00F17231" w:rsidP="00596EC2">
      <w:pPr>
        <w:jc w:val="both"/>
        <w:rPr>
          <w:rFonts w:ascii="Calibri" w:eastAsia="Microsoft YaHei" w:hAnsi="Calibri" w:cs="Calibri"/>
          <w:sz w:val="22"/>
          <w:szCs w:val="22"/>
        </w:rPr>
      </w:pPr>
      <w:r w:rsidRPr="00596EC2">
        <w:rPr>
          <w:rFonts w:ascii="Calibri" w:eastAsia="Microsoft YaHei" w:hAnsi="Calibri" w:cs="Calibri"/>
          <w:sz w:val="22"/>
          <w:szCs w:val="22"/>
        </w:rPr>
        <w:t>Nevertheless, this year’s reports pointed out that, with the exception of the leading companies, most of the enterprises have yet to extend their environmental and carbon management to their supply chains, especially upstream raw material production, nor have they required their suppliers to set their own emission reduction targets, track and disclose their progress.</w:t>
      </w:r>
      <w:r w:rsidR="00BC2241" w:rsidRPr="00596EC2">
        <w:rPr>
          <w:rFonts w:ascii="Calibri" w:eastAsia="Microsoft YaHei" w:hAnsi="Calibri" w:cs="Calibri"/>
          <w:sz w:val="22"/>
          <w:szCs w:val="22"/>
        </w:rPr>
        <w:t xml:space="preserve"> </w:t>
      </w:r>
      <w:r w:rsidR="00602CF5" w:rsidRPr="00596EC2">
        <w:rPr>
          <w:rFonts w:ascii="Calibri" w:eastAsia="Microsoft YaHei" w:hAnsi="Calibri" w:cs="Calibri"/>
          <w:sz w:val="22"/>
          <w:szCs w:val="22"/>
        </w:rPr>
        <w:t xml:space="preserve">Since supply chain emissions </w:t>
      </w:r>
      <w:r w:rsidR="00E33A4D" w:rsidRPr="00596EC2">
        <w:rPr>
          <w:rFonts w:ascii="Calibri" w:eastAsia="Microsoft YaHei" w:hAnsi="Calibri" w:cs="Calibri"/>
          <w:sz w:val="22"/>
          <w:szCs w:val="22"/>
        </w:rPr>
        <w:t>constitute</w:t>
      </w:r>
      <w:r w:rsidR="00602CF5" w:rsidRPr="00596EC2">
        <w:rPr>
          <w:rFonts w:ascii="Calibri" w:eastAsia="Microsoft YaHei" w:hAnsi="Calibri" w:cs="Calibri"/>
          <w:sz w:val="22"/>
          <w:szCs w:val="22"/>
        </w:rPr>
        <w:t xml:space="preserve"> the largest </w:t>
      </w:r>
      <w:r w:rsidR="00E33A4D" w:rsidRPr="00596EC2">
        <w:rPr>
          <w:rFonts w:ascii="Calibri" w:eastAsia="Microsoft YaHei" w:hAnsi="Calibri" w:cs="Calibri"/>
          <w:sz w:val="22"/>
          <w:szCs w:val="22"/>
        </w:rPr>
        <w:t xml:space="preserve">proportion of </w:t>
      </w:r>
      <w:r w:rsidR="00AA087B" w:rsidRPr="00596EC2">
        <w:rPr>
          <w:rFonts w:ascii="Calibri" w:eastAsia="Microsoft YaHei" w:hAnsi="Calibri" w:cs="Calibri"/>
          <w:sz w:val="22"/>
          <w:szCs w:val="22"/>
        </w:rPr>
        <w:t>carbon footprints for most brands,</w:t>
      </w:r>
      <w:r w:rsidR="004E09EC" w:rsidRPr="00596EC2">
        <w:rPr>
          <w:rFonts w:ascii="Calibri" w:eastAsia="Microsoft YaHei" w:hAnsi="Calibri" w:cs="Calibri"/>
          <w:sz w:val="22"/>
          <w:szCs w:val="22"/>
        </w:rPr>
        <w:t xml:space="preserve"> </w:t>
      </w:r>
      <w:r w:rsidR="00602CF5" w:rsidRPr="00596EC2">
        <w:rPr>
          <w:rFonts w:ascii="Calibri" w:eastAsia="Microsoft YaHei" w:hAnsi="Calibri" w:cs="Calibri"/>
          <w:sz w:val="22"/>
          <w:szCs w:val="22"/>
        </w:rPr>
        <w:t xml:space="preserve">the lack of management will make it difficult for multinational companies to effectively implement their climate commitments and for brands and suppliers to address </w:t>
      </w:r>
      <w:r w:rsidR="00914F0E" w:rsidRPr="00596EC2">
        <w:rPr>
          <w:rFonts w:ascii="Calibri" w:eastAsia="Microsoft YaHei" w:hAnsi="Calibri" w:cs="Calibri"/>
          <w:sz w:val="22"/>
          <w:szCs w:val="22"/>
        </w:rPr>
        <w:t xml:space="preserve">future </w:t>
      </w:r>
      <w:r w:rsidR="00602CF5" w:rsidRPr="00596EC2">
        <w:rPr>
          <w:rFonts w:ascii="Calibri" w:eastAsia="Microsoft YaHei" w:hAnsi="Calibri" w:cs="Calibri"/>
          <w:sz w:val="22"/>
          <w:szCs w:val="22"/>
        </w:rPr>
        <w:t xml:space="preserve">risks such as the potential arrival of a </w:t>
      </w:r>
      <w:r w:rsidR="00B97893" w:rsidRPr="00596EC2">
        <w:rPr>
          <w:rFonts w:ascii="Calibri" w:eastAsia="Microsoft YaHei" w:hAnsi="Calibri" w:cs="Calibri"/>
          <w:sz w:val="22"/>
          <w:szCs w:val="22"/>
        </w:rPr>
        <w:t>carbon border adjustment mechanism (CBAM)</w:t>
      </w:r>
      <w:r w:rsidR="00602CF5" w:rsidRPr="00596EC2">
        <w:rPr>
          <w:rFonts w:ascii="Calibri" w:eastAsia="Microsoft YaHei" w:hAnsi="Calibri" w:cs="Calibri"/>
          <w:sz w:val="22"/>
          <w:szCs w:val="22"/>
        </w:rPr>
        <w:t>.</w:t>
      </w:r>
    </w:p>
    <w:p w14:paraId="76F496D9" w14:textId="77777777" w:rsidR="00AC569C" w:rsidRPr="00596EC2" w:rsidRDefault="00AC569C" w:rsidP="00596EC2">
      <w:pPr>
        <w:jc w:val="both"/>
        <w:rPr>
          <w:rFonts w:ascii="Calibri" w:eastAsia="Microsoft YaHei" w:hAnsi="Calibri" w:cs="Calibri"/>
          <w:sz w:val="22"/>
          <w:szCs w:val="22"/>
        </w:rPr>
      </w:pPr>
    </w:p>
    <w:p w14:paraId="55DDDE64" w14:textId="6D75E886" w:rsidR="00E37D26" w:rsidRPr="00596EC2" w:rsidRDefault="00E37D26" w:rsidP="00596EC2">
      <w:pPr>
        <w:jc w:val="both"/>
        <w:rPr>
          <w:rFonts w:ascii="Calibri" w:eastAsia="Microsoft YaHei" w:hAnsi="Calibri" w:cs="Calibri"/>
          <w:sz w:val="22"/>
          <w:szCs w:val="22"/>
        </w:rPr>
      </w:pPr>
      <w:r w:rsidRPr="00596EC2">
        <w:rPr>
          <w:rFonts w:ascii="Calibri" w:eastAsia="Microsoft YaHei" w:hAnsi="Calibri" w:cs="Calibri"/>
          <w:sz w:val="22"/>
          <w:szCs w:val="22"/>
        </w:rPr>
        <w:t>To this end, IPE recommends that local and global enterprises should align themselves with China's ‘dual carbon’ strategy and improve their supply chain environmental management and climate governance. Specifically, multinational should make use of digital technology to push their suppliers in China to ensure environmental compliance, take measures to save energy and reduce emissions, and start looking into their own supply chains. Chinese enterprises should equally strengthen the measurement and disclosure of emission</w:t>
      </w:r>
      <w:r w:rsidR="00E46142" w:rsidRPr="00596EC2">
        <w:rPr>
          <w:rFonts w:ascii="Calibri" w:eastAsia="Microsoft YaHei" w:hAnsi="Calibri" w:cs="Calibri"/>
          <w:sz w:val="22"/>
          <w:szCs w:val="22"/>
        </w:rPr>
        <w:t>s</w:t>
      </w:r>
      <w:r w:rsidRPr="00596EC2">
        <w:rPr>
          <w:rFonts w:ascii="Calibri" w:eastAsia="Microsoft YaHei" w:hAnsi="Calibri" w:cs="Calibri"/>
          <w:sz w:val="22"/>
          <w:szCs w:val="22"/>
        </w:rPr>
        <w:t xml:space="preserve"> data, set science-based targets and reduce emissions from its own operation. Centr</w:t>
      </w:r>
      <w:r w:rsidR="001D2901">
        <w:rPr>
          <w:rFonts w:ascii="Calibri" w:eastAsia="Microsoft YaHei" w:hAnsi="Calibri" w:cs="Calibri"/>
          <w:sz w:val="22"/>
          <w:szCs w:val="22"/>
        </w:rPr>
        <w:t xml:space="preserve">al enterprises, in particular, </w:t>
      </w:r>
      <w:r w:rsidRPr="00596EC2">
        <w:rPr>
          <w:rFonts w:ascii="Calibri" w:eastAsia="Microsoft YaHei" w:hAnsi="Calibri" w:cs="Calibri"/>
          <w:sz w:val="22"/>
          <w:szCs w:val="22"/>
        </w:rPr>
        <w:t>should pl</w:t>
      </w:r>
      <w:bookmarkStart w:id="2" w:name="_GoBack"/>
      <w:bookmarkEnd w:id="2"/>
      <w:r w:rsidRPr="00596EC2">
        <w:rPr>
          <w:rFonts w:ascii="Calibri" w:eastAsia="Microsoft YaHei" w:hAnsi="Calibri" w:cs="Calibri"/>
          <w:sz w:val="22"/>
          <w:szCs w:val="22"/>
        </w:rPr>
        <w:t>ay a leading role in driving the low-carbon transformation.</w:t>
      </w:r>
    </w:p>
    <w:p w14:paraId="0C3FCC64" w14:textId="77777777" w:rsidR="00E37D26" w:rsidRPr="00596EC2" w:rsidRDefault="00E37D26" w:rsidP="00596EC2">
      <w:pPr>
        <w:jc w:val="both"/>
        <w:rPr>
          <w:rFonts w:ascii="Calibri" w:eastAsia="Microsoft YaHei" w:hAnsi="Calibri" w:cs="Calibri"/>
          <w:sz w:val="22"/>
          <w:szCs w:val="22"/>
        </w:rPr>
      </w:pPr>
    </w:p>
    <w:p w14:paraId="10041872" w14:textId="3C98C3D8" w:rsidR="008F3D1E" w:rsidRPr="00596EC2" w:rsidRDefault="008F3D1E"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IPE recommends that financial institutions benchmark against global </w:t>
      </w:r>
      <w:r w:rsidR="005E60A3" w:rsidRPr="00596EC2">
        <w:rPr>
          <w:rFonts w:ascii="Calibri" w:eastAsia="Microsoft YaHei" w:hAnsi="Calibri" w:cs="Calibri"/>
          <w:sz w:val="22"/>
          <w:szCs w:val="22"/>
        </w:rPr>
        <w:t>best</w:t>
      </w:r>
      <w:r w:rsidRPr="00596EC2">
        <w:rPr>
          <w:rFonts w:ascii="Calibri" w:eastAsia="Microsoft YaHei" w:hAnsi="Calibri" w:cs="Calibri"/>
          <w:sz w:val="22"/>
          <w:szCs w:val="22"/>
        </w:rPr>
        <w:t xml:space="preserve"> practices, integrate climate change policies into their investment </w:t>
      </w:r>
      <w:r w:rsidR="00892A23" w:rsidRPr="00596EC2">
        <w:rPr>
          <w:rFonts w:ascii="Calibri" w:eastAsia="Microsoft YaHei" w:hAnsi="Calibri" w:cs="Calibri"/>
          <w:sz w:val="22"/>
          <w:szCs w:val="22"/>
        </w:rPr>
        <w:t xml:space="preserve">portfolio </w:t>
      </w:r>
      <w:r w:rsidRPr="00596EC2">
        <w:rPr>
          <w:rFonts w:ascii="Calibri" w:eastAsia="Microsoft YaHei" w:hAnsi="Calibri" w:cs="Calibri"/>
          <w:sz w:val="22"/>
          <w:szCs w:val="22"/>
        </w:rPr>
        <w:t>and decision-making mechanisms</w:t>
      </w:r>
      <w:r w:rsidR="006453A1" w:rsidRPr="00596EC2">
        <w:rPr>
          <w:rFonts w:ascii="Calibri" w:eastAsia="Microsoft YaHei" w:hAnsi="Calibri" w:cs="Calibri"/>
          <w:sz w:val="22"/>
          <w:szCs w:val="22"/>
        </w:rPr>
        <w:t xml:space="preserve"> to </w:t>
      </w:r>
      <w:r w:rsidRPr="00596EC2">
        <w:rPr>
          <w:rFonts w:ascii="Calibri" w:eastAsia="Microsoft YaHei" w:hAnsi="Calibri" w:cs="Calibri"/>
          <w:sz w:val="22"/>
          <w:szCs w:val="22"/>
        </w:rPr>
        <w:t>support actions</w:t>
      </w:r>
      <w:r w:rsidR="00220797" w:rsidRPr="00596EC2">
        <w:rPr>
          <w:rFonts w:ascii="Calibri" w:eastAsia="Microsoft YaHei" w:hAnsi="Calibri" w:cs="Calibri"/>
          <w:sz w:val="22"/>
          <w:szCs w:val="22"/>
        </w:rPr>
        <w:t xml:space="preserve"> to reduce </w:t>
      </w:r>
      <w:r w:rsidR="007664E8" w:rsidRPr="00596EC2">
        <w:rPr>
          <w:rFonts w:ascii="Calibri" w:eastAsia="Microsoft YaHei" w:hAnsi="Calibri" w:cs="Calibri"/>
          <w:sz w:val="22"/>
          <w:szCs w:val="22"/>
        </w:rPr>
        <w:t>energy use and carbon emissions</w:t>
      </w:r>
      <w:r w:rsidRPr="00596EC2">
        <w:rPr>
          <w:rFonts w:ascii="Calibri" w:eastAsia="Microsoft YaHei" w:hAnsi="Calibri" w:cs="Calibri"/>
          <w:sz w:val="22"/>
          <w:szCs w:val="22"/>
        </w:rPr>
        <w:t xml:space="preserve">. Currently, a number of Chinese banks and </w:t>
      </w:r>
      <w:r w:rsidR="00E029DC" w:rsidRPr="00596EC2">
        <w:rPr>
          <w:rFonts w:ascii="Calibri" w:eastAsia="Microsoft YaHei" w:hAnsi="Calibri" w:cs="Calibri"/>
          <w:sz w:val="22"/>
          <w:szCs w:val="22"/>
        </w:rPr>
        <w:t>investors</w:t>
      </w:r>
      <w:r w:rsidRPr="00596EC2">
        <w:rPr>
          <w:rFonts w:ascii="Calibri" w:eastAsia="Microsoft YaHei" w:hAnsi="Calibri" w:cs="Calibri"/>
          <w:sz w:val="22"/>
          <w:szCs w:val="22"/>
        </w:rPr>
        <w:t xml:space="preserve"> have started </w:t>
      </w:r>
      <w:r w:rsidRPr="00596EC2">
        <w:rPr>
          <w:rFonts w:ascii="Calibri" w:eastAsia="Microsoft YaHei" w:hAnsi="Calibri" w:cs="Calibri"/>
          <w:sz w:val="22"/>
          <w:szCs w:val="22"/>
        </w:rPr>
        <w:lastRenderedPageBreak/>
        <w:t xml:space="preserve">to monitor enterprises’ environmental and climate performance. Among them, Postal Savings Bank of China has started to pilot </w:t>
      </w:r>
      <w:proofErr w:type="spellStart"/>
      <w:r w:rsidRPr="00596EC2">
        <w:rPr>
          <w:rFonts w:ascii="Calibri" w:eastAsia="Microsoft YaHei" w:hAnsi="Calibri" w:cs="Calibri"/>
          <w:sz w:val="22"/>
          <w:szCs w:val="22"/>
        </w:rPr>
        <w:t>digitalised</w:t>
      </w:r>
      <w:proofErr w:type="spellEnd"/>
      <w:r w:rsidRPr="00596EC2">
        <w:rPr>
          <w:rFonts w:ascii="Calibri" w:eastAsia="Microsoft YaHei" w:hAnsi="Calibri" w:cs="Calibri"/>
          <w:sz w:val="22"/>
          <w:szCs w:val="22"/>
        </w:rPr>
        <w:t xml:space="preserve"> carbon accounting for lending enterprises, in addition to controlling lending risks via environmental big data.</w:t>
      </w:r>
    </w:p>
    <w:p w14:paraId="4831D0DD" w14:textId="77777777" w:rsidR="003C0664" w:rsidRPr="00596EC2" w:rsidRDefault="003C0664" w:rsidP="00596EC2">
      <w:pPr>
        <w:jc w:val="both"/>
        <w:rPr>
          <w:rFonts w:ascii="Calibri" w:eastAsia="Microsoft YaHei" w:hAnsi="Calibri" w:cs="Calibri"/>
          <w:sz w:val="22"/>
          <w:szCs w:val="22"/>
        </w:rPr>
      </w:pPr>
    </w:p>
    <w:p w14:paraId="28E411AC" w14:textId="7F60826B" w:rsidR="006624A1" w:rsidRPr="00596EC2" w:rsidRDefault="0002350C" w:rsidP="00596EC2">
      <w:pPr>
        <w:jc w:val="both"/>
        <w:rPr>
          <w:rFonts w:ascii="Calibri" w:eastAsia="Microsoft YaHei" w:hAnsi="Calibri" w:cs="Calibri"/>
          <w:sz w:val="22"/>
          <w:szCs w:val="22"/>
        </w:rPr>
      </w:pPr>
      <w:r w:rsidRPr="00596EC2">
        <w:rPr>
          <w:rFonts w:ascii="Calibri" w:eastAsia="Microsoft YaHei" w:hAnsi="Calibri" w:cs="Calibri"/>
          <w:sz w:val="22"/>
          <w:szCs w:val="22"/>
        </w:rPr>
        <w:t>The 2021 Green Supply Chain &amp; Climate Action Forum was co-organized by IPE, Natural Resources Defense Council (NRDC), Heinrich-</w:t>
      </w:r>
      <w:proofErr w:type="spellStart"/>
      <w:r w:rsidRPr="00596EC2">
        <w:rPr>
          <w:rFonts w:ascii="Calibri" w:eastAsia="Microsoft YaHei" w:hAnsi="Calibri" w:cs="Calibri"/>
          <w:sz w:val="22"/>
          <w:szCs w:val="22"/>
        </w:rPr>
        <w:t>Böll</w:t>
      </w:r>
      <w:proofErr w:type="spellEnd"/>
      <w:r w:rsidRPr="00596EC2">
        <w:rPr>
          <w:rFonts w:ascii="Calibri" w:eastAsia="Microsoft YaHei" w:hAnsi="Calibri" w:cs="Calibri"/>
          <w:sz w:val="22"/>
          <w:szCs w:val="22"/>
        </w:rPr>
        <w:t>-</w:t>
      </w:r>
      <w:proofErr w:type="spellStart"/>
      <w:r w:rsidRPr="00596EC2">
        <w:rPr>
          <w:rFonts w:ascii="Calibri" w:eastAsia="Microsoft YaHei" w:hAnsi="Calibri" w:cs="Calibri"/>
          <w:sz w:val="22"/>
          <w:szCs w:val="22"/>
        </w:rPr>
        <w:t>Stiftung</w:t>
      </w:r>
      <w:proofErr w:type="spellEnd"/>
      <w:r w:rsidRPr="00596EC2">
        <w:rPr>
          <w:rFonts w:ascii="Calibri" w:eastAsia="Microsoft YaHei" w:hAnsi="Calibri" w:cs="Calibri"/>
          <w:sz w:val="22"/>
          <w:szCs w:val="22"/>
        </w:rPr>
        <w:t xml:space="preserve"> Beijing Representative Office, SEE </w:t>
      </w:r>
      <w:proofErr w:type="spellStart"/>
      <w:r w:rsidRPr="00596EC2">
        <w:rPr>
          <w:rFonts w:ascii="Calibri" w:eastAsia="Microsoft YaHei" w:hAnsi="Calibri" w:cs="Calibri"/>
          <w:sz w:val="22"/>
          <w:szCs w:val="22"/>
        </w:rPr>
        <w:t>Zhujiang</w:t>
      </w:r>
      <w:proofErr w:type="spellEnd"/>
      <w:r w:rsidRPr="00596EC2">
        <w:rPr>
          <w:rFonts w:ascii="Calibri" w:eastAsia="Microsoft YaHei" w:hAnsi="Calibri" w:cs="Calibri"/>
          <w:sz w:val="22"/>
          <w:szCs w:val="22"/>
        </w:rPr>
        <w:t xml:space="preserve"> Branch, and </w:t>
      </w:r>
      <w:proofErr w:type="spellStart"/>
      <w:r w:rsidRPr="00596EC2">
        <w:rPr>
          <w:rFonts w:ascii="Calibri" w:eastAsia="Microsoft YaHei" w:hAnsi="Calibri" w:cs="Calibri"/>
          <w:sz w:val="22"/>
          <w:szCs w:val="22"/>
        </w:rPr>
        <w:t>ClientEarth</w:t>
      </w:r>
      <w:proofErr w:type="spellEnd"/>
      <w:r w:rsidRPr="00596EC2">
        <w:rPr>
          <w:rFonts w:ascii="Calibri" w:eastAsia="Microsoft YaHei" w:hAnsi="Calibri" w:cs="Calibri"/>
          <w:sz w:val="22"/>
          <w:szCs w:val="22"/>
        </w:rPr>
        <w:t xml:space="preserve"> Beijing Representative Office, under the technical guidance of</w:t>
      </w:r>
      <w:r w:rsidR="00586D8D" w:rsidRPr="00596EC2">
        <w:rPr>
          <w:rFonts w:ascii="Calibri" w:eastAsia="Microsoft YaHei" w:hAnsi="Calibri" w:cs="Calibri"/>
          <w:sz w:val="22"/>
          <w:szCs w:val="22"/>
        </w:rPr>
        <w:t xml:space="preserve"> CRAES’s</w:t>
      </w:r>
      <w:r w:rsidRPr="00596EC2">
        <w:rPr>
          <w:rFonts w:ascii="Calibri" w:eastAsia="Microsoft YaHei" w:hAnsi="Calibri" w:cs="Calibri"/>
          <w:sz w:val="22"/>
          <w:szCs w:val="22"/>
        </w:rPr>
        <w:t xml:space="preserve"> Center for Carbon Neutrality</w:t>
      </w:r>
      <w:r w:rsidR="00586D8D" w:rsidRPr="00596EC2">
        <w:rPr>
          <w:rFonts w:ascii="Calibri" w:eastAsia="Microsoft YaHei" w:hAnsi="Calibri" w:cs="Calibri"/>
          <w:sz w:val="22"/>
          <w:szCs w:val="22"/>
        </w:rPr>
        <w:t xml:space="preserve">. </w:t>
      </w:r>
      <w:r w:rsidRPr="00596EC2">
        <w:rPr>
          <w:rFonts w:ascii="Calibri" w:eastAsia="Microsoft YaHei" w:hAnsi="Calibri" w:cs="Calibri"/>
          <w:sz w:val="22"/>
          <w:szCs w:val="22"/>
        </w:rPr>
        <w:t>Representatives from Ministry of Ecology and Environment</w:t>
      </w:r>
      <w:r w:rsidR="00B762EE" w:rsidRPr="00596EC2">
        <w:rPr>
          <w:rFonts w:ascii="Calibri" w:eastAsia="Microsoft YaHei" w:hAnsi="Calibri" w:cs="Calibri" w:hint="eastAsia"/>
          <w:sz w:val="22"/>
          <w:szCs w:val="22"/>
        </w:rPr>
        <w:t xml:space="preserve"> (MEE)</w:t>
      </w:r>
      <w:r w:rsidRPr="00596EC2">
        <w:rPr>
          <w:rFonts w:ascii="Calibri" w:eastAsia="Microsoft YaHei" w:hAnsi="Calibri" w:cs="Calibri"/>
          <w:sz w:val="22"/>
          <w:szCs w:val="22"/>
        </w:rPr>
        <w:t>, CRAES, Ministry of Industry and Information Technology</w:t>
      </w:r>
      <w:r w:rsidR="00B762EE" w:rsidRPr="00596EC2">
        <w:rPr>
          <w:rFonts w:ascii="Calibri" w:eastAsia="Microsoft YaHei" w:hAnsi="Calibri" w:cs="Calibri" w:hint="eastAsia"/>
          <w:sz w:val="22"/>
          <w:szCs w:val="22"/>
        </w:rPr>
        <w:t xml:space="preserve"> (MIIT)</w:t>
      </w:r>
      <w:r w:rsidRPr="00596EC2">
        <w:rPr>
          <w:rFonts w:ascii="Calibri" w:eastAsia="Microsoft YaHei" w:hAnsi="Calibri" w:cs="Calibri"/>
          <w:sz w:val="22"/>
          <w:szCs w:val="22"/>
        </w:rPr>
        <w:t xml:space="preserve">, and the National Center for Climate Change Strategy and International Cooperation (NCSC), heads of foundations and well-known local and </w:t>
      </w:r>
      <w:r w:rsidR="00B762EE" w:rsidRPr="00596EC2">
        <w:rPr>
          <w:rFonts w:ascii="Calibri" w:eastAsia="Microsoft YaHei" w:hAnsi="Calibri" w:cs="Calibri" w:hint="eastAsia"/>
          <w:sz w:val="22"/>
          <w:szCs w:val="22"/>
        </w:rPr>
        <w:t xml:space="preserve">global </w:t>
      </w:r>
      <w:r w:rsidRPr="00596EC2">
        <w:rPr>
          <w:rFonts w:ascii="Calibri" w:eastAsia="Microsoft YaHei" w:hAnsi="Calibri" w:cs="Calibri"/>
          <w:sz w:val="22"/>
          <w:szCs w:val="22"/>
        </w:rPr>
        <w:t xml:space="preserve">environmental groups, as well as executives from 12 leading brands and suppliers gave keynote </w:t>
      </w:r>
      <w:r w:rsidR="00B762EE" w:rsidRPr="00596EC2">
        <w:rPr>
          <w:rFonts w:ascii="Calibri" w:eastAsia="Microsoft YaHei" w:hAnsi="Calibri" w:cs="Calibri"/>
          <w:sz w:val="22"/>
          <w:szCs w:val="22"/>
        </w:rPr>
        <w:t>speeches</w:t>
      </w:r>
      <w:r w:rsidRPr="00596EC2">
        <w:rPr>
          <w:rFonts w:ascii="Calibri" w:eastAsia="Microsoft YaHei" w:hAnsi="Calibri" w:cs="Calibri"/>
          <w:sz w:val="22"/>
          <w:szCs w:val="22"/>
        </w:rPr>
        <w:t xml:space="preserve"> and participated in panel discussions on topics of dual carbon targets, corporate actions and innovative solutions.</w:t>
      </w:r>
    </w:p>
    <w:p w14:paraId="4CAD10C9" w14:textId="17A98834" w:rsidR="00AA7742" w:rsidRDefault="00AA7742" w:rsidP="007F716B">
      <w:pPr>
        <w:spacing w:line="276" w:lineRule="auto"/>
        <w:jc w:val="both"/>
        <w:rPr>
          <w:rFonts w:asciiTheme="minorHAnsi" w:eastAsiaTheme="minorEastAsia" w:hAnsiTheme="minorHAnsi" w:cs="Calibri"/>
          <w:sz w:val="22"/>
          <w:szCs w:val="22"/>
        </w:rPr>
      </w:pPr>
    </w:p>
    <w:p w14:paraId="668CB8EB" w14:textId="77777777" w:rsidR="0052180A" w:rsidRPr="00655587" w:rsidRDefault="0052180A" w:rsidP="007F716B">
      <w:pPr>
        <w:spacing w:line="276" w:lineRule="auto"/>
        <w:jc w:val="both"/>
        <w:rPr>
          <w:rFonts w:asciiTheme="minorHAnsi" w:eastAsiaTheme="minorEastAsia" w:hAnsiTheme="minorHAnsi" w:cs="Calibri"/>
          <w:sz w:val="22"/>
          <w:szCs w:val="22"/>
        </w:rPr>
      </w:pPr>
    </w:p>
    <w:p w14:paraId="5CEA728B" w14:textId="1BE900BE" w:rsidR="009538D5" w:rsidRPr="00655587" w:rsidRDefault="005D6D6B" w:rsidP="007F716B">
      <w:pPr>
        <w:spacing w:line="276" w:lineRule="auto"/>
        <w:jc w:val="both"/>
        <w:rPr>
          <w:rFonts w:asciiTheme="minorHAnsi" w:eastAsiaTheme="minorEastAsia" w:hAnsiTheme="minorHAnsi" w:cs="Calibri"/>
          <w:sz w:val="22"/>
          <w:szCs w:val="22"/>
        </w:rPr>
      </w:pPr>
      <w:r w:rsidRPr="00655587">
        <w:rPr>
          <w:rFonts w:asciiTheme="minorHAnsi" w:eastAsiaTheme="minorEastAsia" w:hAnsiTheme="minorHAnsi" w:cs="Calibri"/>
          <w:sz w:val="22"/>
          <w:szCs w:val="22"/>
        </w:rPr>
        <w:t>********</w:t>
      </w:r>
      <w:r w:rsidR="00A8732F" w:rsidRPr="00655587">
        <w:rPr>
          <w:rFonts w:asciiTheme="minorHAnsi" w:eastAsiaTheme="minorEastAsia" w:hAnsiTheme="minorHAnsi" w:cs="Calibri"/>
          <w:sz w:val="22"/>
          <w:szCs w:val="22"/>
        </w:rPr>
        <w:t>*</w:t>
      </w:r>
    </w:p>
    <w:p w14:paraId="5131746D" w14:textId="2603560D" w:rsidR="00FD5D35" w:rsidRPr="00655587" w:rsidRDefault="00FD5D35" w:rsidP="00FD5D35">
      <w:pPr>
        <w:jc w:val="both"/>
        <w:rPr>
          <w:rFonts w:ascii="Calibri" w:eastAsia="Microsoft YaHei" w:hAnsi="Calibri" w:cs="Calibri"/>
          <w:sz w:val="22"/>
          <w:szCs w:val="22"/>
        </w:rPr>
      </w:pPr>
      <w:r w:rsidRPr="00655587">
        <w:rPr>
          <w:rFonts w:ascii="Calibri" w:eastAsia="Microsoft YaHei" w:hAnsi="Calibri" w:cs="Calibri"/>
          <w:sz w:val="22"/>
          <w:szCs w:val="22"/>
        </w:rPr>
        <w:t xml:space="preserve">The Green Supply Chain CITI, co-developed by IPE and the Natural Resources Defense Council (NRDC) in 2014, is a quantitative system for evaluating green supply chain practices in China, assessing brand performance on such matters as public engagement and responsiveness, requirements for supplier compliance and corrective action, and data disclosure and transparency. </w:t>
      </w:r>
    </w:p>
    <w:p w14:paraId="433A1B29" w14:textId="77777777" w:rsidR="00B06D6B" w:rsidRDefault="00B06D6B" w:rsidP="007F716B">
      <w:pPr>
        <w:spacing w:line="276" w:lineRule="auto"/>
        <w:jc w:val="both"/>
        <w:rPr>
          <w:rFonts w:asciiTheme="minorHAnsi" w:eastAsiaTheme="minorEastAsia" w:hAnsiTheme="minorHAnsi" w:cs="Calibri"/>
          <w:sz w:val="22"/>
          <w:szCs w:val="22"/>
        </w:rPr>
      </w:pPr>
    </w:p>
    <w:p w14:paraId="154A563D" w14:textId="7B7499B8" w:rsidR="00425DFE" w:rsidRPr="00655587" w:rsidRDefault="00FD5D35" w:rsidP="007F716B">
      <w:pPr>
        <w:spacing w:line="276" w:lineRule="auto"/>
        <w:jc w:val="both"/>
        <w:rPr>
          <w:rFonts w:ascii="Calibri" w:eastAsia="Microsoft YaHei" w:hAnsi="Calibri" w:cs="Calibri"/>
          <w:sz w:val="22"/>
          <w:szCs w:val="22"/>
        </w:rPr>
      </w:pPr>
      <w:r w:rsidRPr="00655587">
        <w:rPr>
          <w:rFonts w:ascii="Calibri" w:eastAsia="Microsoft YaHei" w:hAnsi="Calibri" w:cs="Calibri"/>
          <w:sz w:val="22"/>
          <w:szCs w:val="22"/>
        </w:rPr>
        <w:t xml:space="preserve">Developed in 2021, Corporate </w:t>
      </w:r>
      <w:r w:rsidR="00B06D6B">
        <w:rPr>
          <w:rFonts w:ascii="Calibri" w:eastAsia="Microsoft YaHei" w:hAnsi="Calibri" w:cs="Calibri" w:hint="eastAsia"/>
          <w:sz w:val="22"/>
          <w:szCs w:val="22"/>
        </w:rPr>
        <w:t xml:space="preserve">Climate Action </w:t>
      </w:r>
      <w:r w:rsidR="00B06D6B">
        <w:rPr>
          <w:rFonts w:ascii="Calibri" w:eastAsia="Microsoft YaHei" w:hAnsi="Calibri" w:cs="Calibri"/>
          <w:sz w:val="22"/>
          <w:szCs w:val="22"/>
        </w:rPr>
        <w:t>CATI</w:t>
      </w:r>
      <w:r w:rsidRPr="00655587">
        <w:rPr>
          <w:rFonts w:ascii="Calibri" w:eastAsia="Microsoft YaHei" w:hAnsi="Calibri" w:cs="Calibri"/>
          <w:sz w:val="22"/>
          <w:szCs w:val="22"/>
        </w:rPr>
        <w:t xml:space="preserve"> dynamically assesses </w:t>
      </w:r>
      <w:r w:rsidR="00C21659">
        <w:rPr>
          <w:rFonts w:ascii="Calibri" w:eastAsia="Microsoft YaHei" w:hAnsi="Calibri" w:cs="Calibri"/>
          <w:sz w:val="22"/>
          <w:szCs w:val="22"/>
        </w:rPr>
        <w:t xml:space="preserve">brands’ climate performance in </w:t>
      </w:r>
      <w:r w:rsidRPr="00655587">
        <w:rPr>
          <w:rFonts w:ascii="Calibri" w:eastAsia="Microsoft YaHei" w:hAnsi="Calibri" w:cs="Calibri"/>
          <w:sz w:val="22"/>
          <w:szCs w:val="22"/>
        </w:rPr>
        <w:t xml:space="preserve">governance, measurement &amp; disclosure, targets &amp; performance, and climate action. By adding weighting factors, CATI can assess both companies who outsource their production to suppliers as well as those manufacturing companies. </w:t>
      </w:r>
    </w:p>
    <w:p w14:paraId="2730BC5A" w14:textId="77777777" w:rsidR="00B06D6B" w:rsidRDefault="00B06D6B" w:rsidP="00FD5D35">
      <w:pPr>
        <w:jc w:val="both"/>
        <w:rPr>
          <w:rFonts w:asciiTheme="minorHAnsi" w:eastAsiaTheme="minorEastAsia" w:hAnsiTheme="minorHAnsi"/>
          <w:sz w:val="22"/>
          <w:szCs w:val="22"/>
        </w:rPr>
      </w:pPr>
    </w:p>
    <w:p w14:paraId="3ED59AC7" w14:textId="77777777" w:rsidR="00FD5D35" w:rsidRPr="009C2D75" w:rsidRDefault="00FD5D35" w:rsidP="00FD5D35">
      <w:pPr>
        <w:jc w:val="both"/>
        <w:rPr>
          <w:rFonts w:ascii="Calibri" w:eastAsia="Microsoft YaHei" w:hAnsi="Calibri" w:cs="Calibri"/>
          <w:sz w:val="22"/>
          <w:szCs w:val="22"/>
        </w:rPr>
      </w:pPr>
      <w:r w:rsidRPr="00655587">
        <w:rPr>
          <w:rFonts w:ascii="Calibri" w:eastAsia="Microsoft YaHei" w:hAnsi="Calibri" w:cs="Calibri"/>
          <w:sz w:val="22"/>
          <w:szCs w:val="22"/>
        </w:rPr>
        <w:t>The Institute of Public &amp; Environmental Affairs (IPE) is a non-profit environmental organization based in Beijing, China. Since its establishment in May 2006, IPE has developed and operated the Blue Map Database (</w:t>
      </w:r>
      <w:hyperlink r:id="rId8" w:history="1">
        <w:r w:rsidRPr="00655587">
          <w:rPr>
            <w:rFonts w:ascii="Calibri" w:eastAsia="Microsoft YaHei" w:hAnsi="Calibri" w:cs="Calibri"/>
            <w:sz w:val="22"/>
            <w:szCs w:val="22"/>
          </w:rPr>
          <w:t>http://wwwen.ipe.org.cn/</w:t>
        </w:r>
      </w:hyperlink>
      <w:r w:rsidRPr="00655587">
        <w:rPr>
          <w:rFonts w:ascii="Calibri" w:eastAsia="Microsoft YaHei" w:hAnsi="Calibri" w:cs="Calibri"/>
          <w:sz w:val="22"/>
          <w:szCs w:val="22"/>
        </w:rPr>
        <w:t>), and launched the Blue Map app in June 2014, consolidating nationwide environmental quality and real-time emissions data with publicly released government supervision records. IPE aims to leverage its Blue Map Database and app to promote environmental information disclosure and public participation in order to improve environmental governance systems and reduce pollution.</w:t>
      </w:r>
    </w:p>
    <w:sectPr w:rsidR="00FD5D35" w:rsidRPr="009C2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2AE20" w14:textId="77777777" w:rsidR="00163A4E" w:rsidRDefault="00163A4E" w:rsidP="00FB3439">
      <w:r>
        <w:separator/>
      </w:r>
    </w:p>
  </w:endnote>
  <w:endnote w:type="continuationSeparator" w:id="0">
    <w:p w14:paraId="61F0EC63" w14:textId="77777777" w:rsidR="00163A4E" w:rsidRDefault="00163A4E" w:rsidP="00F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script"/>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FangSong_GB2312">
    <w:altName w:val="Microsoft YaHei"/>
    <w:charset w:val="86"/>
    <w:family w:val="modern"/>
    <w:pitch w:val="fixed"/>
    <w:sig w:usb0="00000001" w:usb1="080E0000" w:usb2="00000010" w:usb3="00000000" w:csb0="00040000" w:csb1="00000000"/>
  </w:font>
  <w:font w:name="等线">
    <w:panose1 w:val="02010600030101010101"/>
    <w:charset w:val="86"/>
    <w:family w:val="script"/>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172A" w14:textId="77777777" w:rsidR="00163A4E" w:rsidRDefault="00163A4E" w:rsidP="00FB3439">
      <w:r>
        <w:separator/>
      </w:r>
    </w:p>
  </w:footnote>
  <w:footnote w:type="continuationSeparator" w:id="0">
    <w:p w14:paraId="54CFBF18" w14:textId="77777777" w:rsidR="00163A4E" w:rsidRDefault="00163A4E" w:rsidP="00FB3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7D00"/>
    <w:multiLevelType w:val="multilevel"/>
    <w:tmpl w:val="021F7D00"/>
    <w:lvl w:ilvl="0">
      <w:start w:val="1"/>
      <w:numFmt w:val="bullet"/>
      <w:lvlText w:val="-"/>
      <w:lvlJc w:val="left"/>
      <w:pPr>
        <w:ind w:left="720" w:hanging="360"/>
      </w:pPr>
      <w:rPr>
        <w:rFonts w:ascii="DengXian" w:eastAsia="DengXian" w:hAnsi="DengXia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05A4A"/>
    <w:multiLevelType w:val="hybridMultilevel"/>
    <w:tmpl w:val="1BA6085C"/>
    <w:lvl w:ilvl="0" w:tplc="27009E34">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A58"/>
    <w:multiLevelType w:val="hybridMultilevel"/>
    <w:tmpl w:val="A7528A48"/>
    <w:lvl w:ilvl="0" w:tplc="650043D2">
      <w:start w:val="1"/>
      <w:numFmt w:val="bullet"/>
      <w:lvlText w:val="-"/>
      <w:lvlJc w:val="left"/>
      <w:pPr>
        <w:tabs>
          <w:tab w:val="num" w:pos="720"/>
        </w:tabs>
        <w:ind w:left="720" w:hanging="360"/>
      </w:pPr>
      <w:rPr>
        <w:rFonts w:ascii="Times New Roman" w:hAnsi="Times New Roman" w:hint="default"/>
      </w:rPr>
    </w:lvl>
    <w:lvl w:ilvl="1" w:tplc="29C27518" w:tentative="1">
      <w:start w:val="1"/>
      <w:numFmt w:val="bullet"/>
      <w:lvlText w:val="-"/>
      <w:lvlJc w:val="left"/>
      <w:pPr>
        <w:tabs>
          <w:tab w:val="num" w:pos="1440"/>
        </w:tabs>
        <w:ind w:left="1440" w:hanging="360"/>
      </w:pPr>
      <w:rPr>
        <w:rFonts w:ascii="Times New Roman" w:hAnsi="Times New Roman" w:hint="default"/>
      </w:rPr>
    </w:lvl>
    <w:lvl w:ilvl="2" w:tplc="B8FAF6EC" w:tentative="1">
      <w:start w:val="1"/>
      <w:numFmt w:val="bullet"/>
      <w:lvlText w:val="-"/>
      <w:lvlJc w:val="left"/>
      <w:pPr>
        <w:tabs>
          <w:tab w:val="num" w:pos="2160"/>
        </w:tabs>
        <w:ind w:left="2160" w:hanging="360"/>
      </w:pPr>
      <w:rPr>
        <w:rFonts w:ascii="Times New Roman" w:hAnsi="Times New Roman" w:hint="default"/>
      </w:rPr>
    </w:lvl>
    <w:lvl w:ilvl="3" w:tplc="7A1CE646" w:tentative="1">
      <w:start w:val="1"/>
      <w:numFmt w:val="bullet"/>
      <w:lvlText w:val="-"/>
      <w:lvlJc w:val="left"/>
      <w:pPr>
        <w:tabs>
          <w:tab w:val="num" w:pos="2880"/>
        </w:tabs>
        <w:ind w:left="2880" w:hanging="360"/>
      </w:pPr>
      <w:rPr>
        <w:rFonts w:ascii="Times New Roman" w:hAnsi="Times New Roman" w:hint="default"/>
      </w:rPr>
    </w:lvl>
    <w:lvl w:ilvl="4" w:tplc="B1AA390E" w:tentative="1">
      <w:start w:val="1"/>
      <w:numFmt w:val="bullet"/>
      <w:lvlText w:val="-"/>
      <w:lvlJc w:val="left"/>
      <w:pPr>
        <w:tabs>
          <w:tab w:val="num" w:pos="3600"/>
        </w:tabs>
        <w:ind w:left="3600" w:hanging="360"/>
      </w:pPr>
      <w:rPr>
        <w:rFonts w:ascii="Times New Roman" w:hAnsi="Times New Roman" w:hint="default"/>
      </w:rPr>
    </w:lvl>
    <w:lvl w:ilvl="5" w:tplc="5E36B09C" w:tentative="1">
      <w:start w:val="1"/>
      <w:numFmt w:val="bullet"/>
      <w:lvlText w:val="-"/>
      <w:lvlJc w:val="left"/>
      <w:pPr>
        <w:tabs>
          <w:tab w:val="num" w:pos="4320"/>
        </w:tabs>
        <w:ind w:left="4320" w:hanging="360"/>
      </w:pPr>
      <w:rPr>
        <w:rFonts w:ascii="Times New Roman" w:hAnsi="Times New Roman" w:hint="default"/>
      </w:rPr>
    </w:lvl>
    <w:lvl w:ilvl="6" w:tplc="E4AA1142" w:tentative="1">
      <w:start w:val="1"/>
      <w:numFmt w:val="bullet"/>
      <w:lvlText w:val="-"/>
      <w:lvlJc w:val="left"/>
      <w:pPr>
        <w:tabs>
          <w:tab w:val="num" w:pos="5040"/>
        </w:tabs>
        <w:ind w:left="5040" w:hanging="360"/>
      </w:pPr>
      <w:rPr>
        <w:rFonts w:ascii="Times New Roman" w:hAnsi="Times New Roman" w:hint="default"/>
      </w:rPr>
    </w:lvl>
    <w:lvl w:ilvl="7" w:tplc="8416BF14" w:tentative="1">
      <w:start w:val="1"/>
      <w:numFmt w:val="bullet"/>
      <w:lvlText w:val="-"/>
      <w:lvlJc w:val="left"/>
      <w:pPr>
        <w:tabs>
          <w:tab w:val="num" w:pos="5760"/>
        </w:tabs>
        <w:ind w:left="5760" w:hanging="360"/>
      </w:pPr>
      <w:rPr>
        <w:rFonts w:ascii="Times New Roman" w:hAnsi="Times New Roman" w:hint="default"/>
      </w:rPr>
    </w:lvl>
    <w:lvl w:ilvl="8" w:tplc="18C208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A0261B"/>
    <w:multiLevelType w:val="hybridMultilevel"/>
    <w:tmpl w:val="291ED094"/>
    <w:lvl w:ilvl="0" w:tplc="61CE7556">
      <w:start w:val="1"/>
      <w:numFmt w:val="bullet"/>
      <w:lvlText w:val="-"/>
      <w:lvlJc w:val="left"/>
      <w:pPr>
        <w:tabs>
          <w:tab w:val="num" w:pos="720"/>
        </w:tabs>
        <w:ind w:left="720" w:hanging="360"/>
      </w:pPr>
      <w:rPr>
        <w:rFonts w:ascii="Times New Roman" w:hAnsi="Times New Roman" w:hint="default"/>
      </w:rPr>
    </w:lvl>
    <w:lvl w:ilvl="1" w:tplc="DC58C68C" w:tentative="1">
      <w:start w:val="1"/>
      <w:numFmt w:val="bullet"/>
      <w:lvlText w:val="-"/>
      <w:lvlJc w:val="left"/>
      <w:pPr>
        <w:tabs>
          <w:tab w:val="num" w:pos="1440"/>
        </w:tabs>
        <w:ind w:left="1440" w:hanging="360"/>
      </w:pPr>
      <w:rPr>
        <w:rFonts w:ascii="Times New Roman" w:hAnsi="Times New Roman" w:hint="default"/>
      </w:rPr>
    </w:lvl>
    <w:lvl w:ilvl="2" w:tplc="5B1E1254" w:tentative="1">
      <w:start w:val="1"/>
      <w:numFmt w:val="bullet"/>
      <w:lvlText w:val="-"/>
      <w:lvlJc w:val="left"/>
      <w:pPr>
        <w:tabs>
          <w:tab w:val="num" w:pos="2160"/>
        </w:tabs>
        <w:ind w:left="2160" w:hanging="360"/>
      </w:pPr>
      <w:rPr>
        <w:rFonts w:ascii="Times New Roman" w:hAnsi="Times New Roman" w:hint="default"/>
      </w:rPr>
    </w:lvl>
    <w:lvl w:ilvl="3" w:tplc="64F447B8" w:tentative="1">
      <w:start w:val="1"/>
      <w:numFmt w:val="bullet"/>
      <w:lvlText w:val="-"/>
      <w:lvlJc w:val="left"/>
      <w:pPr>
        <w:tabs>
          <w:tab w:val="num" w:pos="2880"/>
        </w:tabs>
        <w:ind w:left="2880" w:hanging="360"/>
      </w:pPr>
      <w:rPr>
        <w:rFonts w:ascii="Times New Roman" w:hAnsi="Times New Roman" w:hint="default"/>
      </w:rPr>
    </w:lvl>
    <w:lvl w:ilvl="4" w:tplc="C5C8FE06" w:tentative="1">
      <w:start w:val="1"/>
      <w:numFmt w:val="bullet"/>
      <w:lvlText w:val="-"/>
      <w:lvlJc w:val="left"/>
      <w:pPr>
        <w:tabs>
          <w:tab w:val="num" w:pos="3600"/>
        </w:tabs>
        <w:ind w:left="3600" w:hanging="360"/>
      </w:pPr>
      <w:rPr>
        <w:rFonts w:ascii="Times New Roman" w:hAnsi="Times New Roman" w:hint="default"/>
      </w:rPr>
    </w:lvl>
    <w:lvl w:ilvl="5" w:tplc="B5BECA76" w:tentative="1">
      <w:start w:val="1"/>
      <w:numFmt w:val="bullet"/>
      <w:lvlText w:val="-"/>
      <w:lvlJc w:val="left"/>
      <w:pPr>
        <w:tabs>
          <w:tab w:val="num" w:pos="4320"/>
        </w:tabs>
        <w:ind w:left="4320" w:hanging="360"/>
      </w:pPr>
      <w:rPr>
        <w:rFonts w:ascii="Times New Roman" w:hAnsi="Times New Roman" w:hint="default"/>
      </w:rPr>
    </w:lvl>
    <w:lvl w:ilvl="6" w:tplc="BBCC2E30" w:tentative="1">
      <w:start w:val="1"/>
      <w:numFmt w:val="bullet"/>
      <w:lvlText w:val="-"/>
      <w:lvlJc w:val="left"/>
      <w:pPr>
        <w:tabs>
          <w:tab w:val="num" w:pos="5040"/>
        </w:tabs>
        <w:ind w:left="5040" w:hanging="360"/>
      </w:pPr>
      <w:rPr>
        <w:rFonts w:ascii="Times New Roman" w:hAnsi="Times New Roman" w:hint="default"/>
      </w:rPr>
    </w:lvl>
    <w:lvl w:ilvl="7" w:tplc="32D22160" w:tentative="1">
      <w:start w:val="1"/>
      <w:numFmt w:val="bullet"/>
      <w:lvlText w:val="-"/>
      <w:lvlJc w:val="left"/>
      <w:pPr>
        <w:tabs>
          <w:tab w:val="num" w:pos="5760"/>
        </w:tabs>
        <w:ind w:left="5760" w:hanging="360"/>
      </w:pPr>
      <w:rPr>
        <w:rFonts w:ascii="Times New Roman" w:hAnsi="Times New Roman" w:hint="default"/>
      </w:rPr>
    </w:lvl>
    <w:lvl w:ilvl="8" w:tplc="E18427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82757E"/>
    <w:multiLevelType w:val="hybridMultilevel"/>
    <w:tmpl w:val="69CE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C53DA"/>
    <w:multiLevelType w:val="hybridMultilevel"/>
    <w:tmpl w:val="0E40FCDC"/>
    <w:lvl w:ilvl="0" w:tplc="28E09BC4">
      <w:start w:val="1"/>
      <w:numFmt w:val="bullet"/>
      <w:lvlText w:val="•"/>
      <w:lvlJc w:val="left"/>
      <w:pPr>
        <w:tabs>
          <w:tab w:val="num" w:pos="720"/>
        </w:tabs>
        <w:ind w:left="720" w:hanging="360"/>
      </w:pPr>
      <w:rPr>
        <w:rFonts w:ascii="Arial" w:hAnsi="Arial" w:hint="default"/>
      </w:rPr>
    </w:lvl>
    <w:lvl w:ilvl="1" w:tplc="1430BA38" w:tentative="1">
      <w:start w:val="1"/>
      <w:numFmt w:val="bullet"/>
      <w:lvlText w:val="•"/>
      <w:lvlJc w:val="left"/>
      <w:pPr>
        <w:tabs>
          <w:tab w:val="num" w:pos="1440"/>
        </w:tabs>
        <w:ind w:left="1440" w:hanging="360"/>
      </w:pPr>
      <w:rPr>
        <w:rFonts w:ascii="Arial" w:hAnsi="Arial" w:hint="default"/>
      </w:rPr>
    </w:lvl>
    <w:lvl w:ilvl="2" w:tplc="8ED044BE" w:tentative="1">
      <w:start w:val="1"/>
      <w:numFmt w:val="bullet"/>
      <w:lvlText w:val="•"/>
      <w:lvlJc w:val="left"/>
      <w:pPr>
        <w:tabs>
          <w:tab w:val="num" w:pos="2160"/>
        </w:tabs>
        <w:ind w:left="2160" w:hanging="360"/>
      </w:pPr>
      <w:rPr>
        <w:rFonts w:ascii="Arial" w:hAnsi="Arial" w:hint="default"/>
      </w:rPr>
    </w:lvl>
    <w:lvl w:ilvl="3" w:tplc="C2C6BF18" w:tentative="1">
      <w:start w:val="1"/>
      <w:numFmt w:val="bullet"/>
      <w:lvlText w:val="•"/>
      <w:lvlJc w:val="left"/>
      <w:pPr>
        <w:tabs>
          <w:tab w:val="num" w:pos="2880"/>
        </w:tabs>
        <w:ind w:left="2880" w:hanging="360"/>
      </w:pPr>
      <w:rPr>
        <w:rFonts w:ascii="Arial" w:hAnsi="Arial" w:hint="default"/>
      </w:rPr>
    </w:lvl>
    <w:lvl w:ilvl="4" w:tplc="89F052F2" w:tentative="1">
      <w:start w:val="1"/>
      <w:numFmt w:val="bullet"/>
      <w:lvlText w:val="•"/>
      <w:lvlJc w:val="left"/>
      <w:pPr>
        <w:tabs>
          <w:tab w:val="num" w:pos="3600"/>
        </w:tabs>
        <w:ind w:left="3600" w:hanging="360"/>
      </w:pPr>
      <w:rPr>
        <w:rFonts w:ascii="Arial" w:hAnsi="Arial" w:hint="default"/>
      </w:rPr>
    </w:lvl>
    <w:lvl w:ilvl="5" w:tplc="82546272" w:tentative="1">
      <w:start w:val="1"/>
      <w:numFmt w:val="bullet"/>
      <w:lvlText w:val="•"/>
      <w:lvlJc w:val="left"/>
      <w:pPr>
        <w:tabs>
          <w:tab w:val="num" w:pos="4320"/>
        </w:tabs>
        <w:ind w:left="4320" w:hanging="360"/>
      </w:pPr>
      <w:rPr>
        <w:rFonts w:ascii="Arial" w:hAnsi="Arial" w:hint="default"/>
      </w:rPr>
    </w:lvl>
    <w:lvl w:ilvl="6" w:tplc="161CACE8" w:tentative="1">
      <w:start w:val="1"/>
      <w:numFmt w:val="bullet"/>
      <w:lvlText w:val="•"/>
      <w:lvlJc w:val="left"/>
      <w:pPr>
        <w:tabs>
          <w:tab w:val="num" w:pos="5040"/>
        </w:tabs>
        <w:ind w:left="5040" w:hanging="360"/>
      </w:pPr>
      <w:rPr>
        <w:rFonts w:ascii="Arial" w:hAnsi="Arial" w:hint="default"/>
      </w:rPr>
    </w:lvl>
    <w:lvl w:ilvl="7" w:tplc="ACB2B850" w:tentative="1">
      <w:start w:val="1"/>
      <w:numFmt w:val="bullet"/>
      <w:lvlText w:val="•"/>
      <w:lvlJc w:val="left"/>
      <w:pPr>
        <w:tabs>
          <w:tab w:val="num" w:pos="5760"/>
        </w:tabs>
        <w:ind w:left="5760" w:hanging="360"/>
      </w:pPr>
      <w:rPr>
        <w:rFonts w:ascii="Arial" w:hAnsi="Arial" w:hint="default"/>
      </w:rPr>
    </w:lvl>
    <w:lvl w:ilvl="8" w:tplc="86363438" w:tentative="1">
      <w:start w:val="1"/>
      <w:numFmt w:val="bullet"/>
      <w:lvlText w:val="•"/>
      <w:lvlJc w:val="left"/>
      <w:pPr>
        <w:tabs>
          <w:tab w:val="num" w:pos="6480"/>
        </w:tabs>
        <w:ind w:left="6480" w:hanging="360"/>
      </w:pPr>
      <w:rPr>
        <w:rFonts w:ascii="Arial" w:hAnsi="Arial" w:hint="default"/>
      </w:rPr>
    </w:lvl>
  </w:abstractNum>
  <w:abstractNum w:abstractNumId="6">
    <w:nsid w:val="7B566C4F"/>
    <w:multiLevelType w:val="hybridMultilevel"/>
    <w:tmpl w:val="E53232AE"/>
    <w:lvl w:ilvl="0" w:tplc="27009E34">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004A2"/>
    <w:multiLevelType w:val="hybridMultilevel"/>
    <w:tmpl w:val="F81CCF90"/>
    <w:lvl w:ilvl="0" w:tplc="4CA81866">
      <w:start w:val="1"/>
      <w:numFmt w:val="bullet"/>
      <w:lvlText w:val="•"/>
      <w:lvlJc w:val="left"/>
      <w:pPr>
        <w:tabs>
          <w:tab w:val="num" w:pos="720"/>
        </w:tabs>
        <w:ind w:left="720" w:hanging="360"/>
      </w:pPr>
      <w:rPr>
        <w:rFonts w:ascii="Arial" w:hAnsi="Arial" w:hint="default"/>
      </w:rPr>
    </w:lvl>
    <w:lvl w:ilvl="1" w:tplc="72882A6C" w:tentative="1">
      <w:start w:val="1"/>
      <w:numFmt w:val="bullet"/>
      <w:lvlText w:val="•"/>
      <w:lvlJc w:val="left"/>
      <w:pPr>
        <w:tabs>
          <w:tab w:val="num" w:pos="1440"/>
        </w:tabs>
        <w:ind w:left="1440" w:hanging="360"/>
      </w:pPr>
      <w:rPr>
        <w:rFonts w:ascii="Arial" w:hAnsi="Arial" w:hint="default"/>
      </w:rPr>
    </w:lvl>
    <w:lvl w:ilvl="2" w:tplc="C4568A8E" w:tentative="1">
      <w:start w:val="1"/>
      <w:numFmt w:val="bullet"/>
      <w:lvlText w:val="•"/>
      <w:lvlJc w:val="left"/>
      <w:pPr>
        <w:tabs>
          <w:tab w:val="num" w:pos="2160"/>
        </w:tabs>
        <w:ind w:left="2160" w:hanging="360"/>
      </w:pPr>
      <w:rPr>
        <w:rFonts w:ascii="Arial" w:hAnsi="Arial" w:hint="default"/>
      </w:rPr>
    </w:lvl>
    <w:lvl w:ilvl="3" w:tplc="0694CB64" w:tentative="1">
      <w:start w:val="1"/>
      <w:numFmt w:val="bullet"/>
      <w:lvlText w:val="•"/>
      <w:lvlJc w:val="left"/>
      <w:pPr>
        <w:tabs>
          <w:tab w:val="num" w:pos="2880"/>
        </w:tabs>
        <w:ind w:left="2880" w:hanging="360"/>
      </w:pPr>
      <w:rPr>
        <w:rFonts w:ascii="Arial" w:hAnsi="Arial" w:hint="default"/>
      </w:rPr>
    </w:lvl>
    <w:lvl w:ilvl="4" w:tplc="74A66342" w:tentative="1">
      <w:start w:val="1"/>
      <w:numFmt w:val="bullet"/>
      <w:lvlText w:val="•"/>
      <w:lvlJc w:val="left"/>
      <w:pPr>
        <w:tabs>
          <w:tab w:val="num" w:pos="3600"/>
        </w:tabs>
        <w:ind w:left="3600" w:hanging="360"/>
      </w:pPr>
      <w:rPr>
        <w:rFonts w:ascii="Arial" w:hAnsi="Arial" w:hint="default"/>
      </w:rPr>
    </w:lvl>
    <w:lvl w:ilvl="5" w:tplc="34DC2B38" w:tentative="1">
      <w:start w:val="1"/>
      <w:numFmt w:val="bullet"/>
      <w:lvlText w:val="•"/>
      <w:lvlJc w:val="left"/>
      <w:pPr>
        <w:tabs>
          <w:tab w:val="num" w:pos="4320"/>
        </w:tabs>
        <w:ind w:left="4320" w:hanging="360"/>
      </w:pPr>
      <w:rPr>
        <w:rFonts w:ascii="Arial" w:hAnsi="Arial" w:hint="default"/>
      </w:rPr>
    </w:lvl>
    <w:lvl w:ilvl="6" w:tplc="554006C2" w:tentative="1">
      <w:start w:val="1"/>
      <w:numFmt w:val="bullet"/>
      <w:lvlText w:val="•"/>
      <w:lvlJc w:val="left"/>
      <w:pPr>
        <w:tabs>
          <w:tab w:val="num" w:pos="5040"/>
        </w:tabs>
        <w:ind w:left="5040" w:hanging="360"/>
      </w:pPr>
      <w:rPr>
        <w:rFonts w:ascii="Arial" w:hAnsi="Arial" w:hint="default"/>
      </w:rPr>
    </w:lvl>
    <w:lvl w:ilvl="7" w:tplc="BE0E999C" w:tentative="1">
      <w:start w:val="1"/>
      <w:numFmt w:val="bullet"/>
      <w:lvlText w:val="•"/>
      <w:lvlJc w:val="left"/>
      <w:pPr>
        <w:tabs>
          <w:tab w:val="num" w:pos="5760"/>
        </w:tabs>
        <w:ind w:left="5760" w:hanging="360"/>
      </w:pPr>
      <w:rPr>
        <w:rFonts w:ascii="Arial" w:hAnsi="Arial" w:hint="default"/>
      </w:rPr>
    </w:lvl>
    <w:lvl w:ilvl="8" w:tplc="6A7C94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09"/>
    <w:rsid w:val="000008B9"/>
    <w:rsid w:val="00000BC7"/>
    <w:rsid w:val="0000117A"/>
    <w:rsid w:val="00002774"/>
    <w:rsid w:val="00002777"/>
    <w:rsid w:val="00004380"/>
    <w:rsid w:val="00006949"/>
    <w:rsid w:val="00010544"/>
    <w:rsid w:val="00011280"/>
    <w:rsid w:val="00011527"/>
    <w:rsid w:val="000115D3"/>
    <w:rsid w:val="00011C99"/>
    <w:rsid w:val="000138E9"/>
    <w:rsid w:val="0001424A"/>
    <w:rsid w:val="00014F57"/>
    <w:rsid w:val="000150DF"/>
    <w:rsid w:val="00017F34"/>
    <w:rsid w:val="00022A2D"/>
    <w:rsid w:val="0002350C"/>
    <w:rsid w:val="0002427A"/>
    <w:rsid w:val="00024DA7"/>
    <w:rsid w:val="00026048"/>
    <w:rsid w:val="00026336"/>
    <w:rsid w:val="000263F5"/>
    <w:rsid w:val="00027E45"/>
    <w:rsid w:val="00030791"/>
    <w:rsid w:val="00030C80"/>
    <w:rsid w:val="000339AD"/>
    <w:rsid w:val="00033F67"/>
    <w:rsid w:val="00034A9E"/>
    <w:rsid w:val="00034C85"/>
    <w:rsid w:val="00036F7A"/>
    <w:rsid w:val="000373FE"/>
    <w:rsid w:val="0003766C"/>
    <w:rsid w:val="00037693"/>
    <w:rsid w:val="00040A2A"/>
    <w:rsid w:val="00040BD5"/>
    <w:rsid w:val="00042A97"/>
    <w:rsid w:val="000440C2"/>
    <w:rsid w:val="00045209"/>
    <w:rsid w:val="00045567"/>
    <w:rsid w:val="00046C02"/>
    <w:rsid w:val="000477F4"/>
    <w:rsid w:val="0005078B"/>
    <w:rsid w:val="00050ECA"/>
    <w:rsid w:val="000528E5"/>
    <w:rsid w:val="000551C0"/>
    <w:rsid w:val="00056908"/>
    <w:rsid w:val="00056B08"/>
    <w:rsid w:val="00056DCC"/>
    <w:rsid w:val="000607B3"/>
    <w:rsid w:val="00060E18"/>
    <w:rsid w:val="0006247D"/>
    <w:rsid w:val="00063555"/>
    <w:rsid w:val="00063BA4"/>
    <w:rsid w:val="00064191"/>
    <w:rsid w:val="000641B3"/>
    <w:rsid w:val="00065539"/>
    <w:rsid w:val="00065A36"/>
    <w:rsid w:val="00065AD7"/>
    <w:rsid w:val="0006640C"/>
    <w:rsid w:val="00067A91"/>
    <w:rsid w:val="000701EE"/>
    <w:rsid w:val="000716CC"/>
    <w:rsid w:val="00071D5F"/>
    <w:rsid w:val="00072683"/>
    <w:rsid w:val="0007292B"/>
    <w:rsid w:val="0007323B"/>
    <w:rsid w:val="0007333C"/>
    <w:rsid w:val="00075015"/>
    <w:rsid w:val="000750F4"/>
    <w:rsid w:val="00077181"/>
    <w:rsid w:val="000774D1"/>
    <w:rsid w:val="0007795D"/>
    <w:rsid w:val="00080A76"/>
    <w:rsid w:val="00080F68"/>
    <w:rsid w:val="00081198"/>
    <w:rsid w:val="0008199E"/>
    <w:rsid w:val="0008229F"/>
    <w:rsid w:val="000829D7"/>
    <w:rsid w:val="00082E0B"/>
    <w:rsid w:val="000830D4"/>
    <w:rsid w:val="00083BF6"/>
    <w:rsid w:val="00084ECE"/>
    <w:rsid w:val="00086128"/>
    <w:rsid w:val="0008798A"/>
    <w:rsid w:val="00090C3C"/>
    <w:rsid w:val="00094C3B"/>
    <w:rsid w:val="00095349"/>
    <w:rsid w:val="00095397"/>
    <w:rsid w:val="00095BB0"/>
    <w:rsid w:val="0009602E"/>
    <w:rsid w:val="000A14EE"/>
    <w:rsid w:val="000A1794"/>
    <w:rsid w:val="000A2AE4"/>
    <w:rsid w:val="000A3120"/>
    <w:rsid w:val="000A5150"/>
    <w:rsid w:val="000A6901"/>
    <w:rsid w:val="000A7F80"/>
    <w:rsid w:val="000B1B9E"/>
    <w:rsid w:val="000B3C57"/>
    <w:rsid w:val="000B4090"/>
    <w:rsid w:val="000B5724"/>
    <w:rsid w:val="000B5A0A"/>
    <w:rsid w:val="000B6D2E"/>
    <w:rsid w:val="000C1DF2"/>
    <w:rsid w:val="000C3829"/>
    <w:rsid w:val="000C3D74"/>
    <w:rsid w:val="000C60A0"/>
    <w:rsid w:val="000C6B65"/>
    <w:rsid w:val="000D08DA"/>
    <w:rsid w:val="000D2A05"/>
    <w:rsid w:val="000D322F"/>
    <w:rsid w:val="000D34F4"/>
    <w:rsid w:val="000D362D"/>
    <w:rsid w:val="000D39E6"/>
    <w:rsid w:val="000D3DBF"/>
    <w:rsid w:val="000D408C"/>
    <w:rsid w:val="000D526F"/>
    <w:rsid w:val="000D593B"/>
    <w:rsid w:val="000D5A09"/>
    <w:rsid w:val="000D5CD4"/>
    <w:rsid w:val="000D6F83"/>
    <w:rsid w:val="000E0328"/>
    <w:rsid w:val="000E04E7"/>
    <w:rsid w:val="000E0A9B"/>
    <w:rsid w:val="000E0B51"/>
    <w:rsid w:val="000E2E2E"/>
    <w:rsid w:val="000E3BCA"/>
    <w:rsid w:val="000E48B1"/>
    <w:rsid w:val="000E69EB"/>
    <w:rsid w:val="000E6B95"/>
    <w:rsid w:val="000E7535"/>
    <w:rsid w:val="000E77CB"/>
    <w:rsid w:val="000F373D"/>
    <w:rsid w:val="000F4D70"/>
    <w:rsid w:val="000F519E"/>
    <w:rsid w:val="000F5F7A"/>
    <w:rsid w:val="000F6728"/>
    <w:rsid w:val="000F7842"/>
    <w:rsid w:val="000F7E2F"/>
    <w:rsid w:val="0010079A"/>
    <w:rsid w:val="00100876"/>
    <w:rsid w:val="00100ADC"/>
    <w:rsid w:val="00101BB3"/>
    <w:rsid w:val="001028E7"/>
    <w:rsid w:val="00102C34"/>
    <w:rsid w:val="00104102"/>
    <w:rsid w:val="001044C7"/>
    <w:rsid w:val="00105A4C"/>
    <w:rsid w:val="00106515"/>
    <w:rsid w:val="00107C69"/>
    <w:rsid w:val="001111C0"/>
    <w:rsid w:val="001111D2"/>
    <w:rsid w:val="001117C6"/>
    <w:rsid w:val="00111E68"/>
    <w:rsid w:val="00111FBF"/>
    <w:rsid w:val="00115912"/>
    <w:rsid w:val="001205E3"/>
    <w:rsid w:val="00121FDE"/>
    <w:rsid w:val="00125BDD"/>
    <w:rsid w:val="00126226"/>
    <w:rsid w:val="001268D9"/>
    <w:rsid w:val="00130EBF"/>
    <w:rsid w:val="0013169E"/>
    <w:rsid w:val="0013205F"/>
    <w:rsid w:val="001333BD"/>
    <w:rsid w:val="0013356F"/>
    <w:rsid w:val="0013397B"/>
    <w:rsid w:val="00134A16"/>
    <w:rsid w:val="00135989"/>
    <w:rsid w:val="00135A6C"/>
    <w:rsid w:val="00136052"/>
    <w:rsid w:val="00136AF2"/>
    <w:rsid w:val="001375B5"/>
    <w:rsid w:val="00137CDA"/>
    <w:rsid w:val="0014019E"/>
    <w:rsid w:val="001408F3"/>
    <w:rsid w:val="001410CA"/>
    <w:rsid w:val="00141ADF"/>
    <w:rsid w:val="00142EA6"/>
    <w:rsid w:val="00143DCE"/>
    <w:rsid w:val="00145F65"/>
    <w:rsid w:val="00146A84"/>
    <w:rsid w:val="00147B8A"/>
    <w:rsid w:val="00151D57"/>
    <w:rsid w:val="00151EEC"/>
    <w:rsid w:val="00151FA5"/>
    <w:rsid w:val="00152AB2"/>
    <w:rsid w:val="00152C45"/>
    <w:rsid w:val="00152FE3"/>
    <w:rsid w:val="00153A15"/>
    <w:rsid w:val="00153EE2"/>
    <w:rsid w:val="001555E7"/>
    <w:rsid w:val="0016179F"/>
    <w:rsid w:val="0016185E"/>
    <w:rsid w:val="00161A86"/>
    <w:rsid w:val="001623A1"/>
    <w:rsid w:val="00163475"/>
    <w:rsid w:val="00163A4E"/>
    <w:rsid w:val="001646D7"/>
    <w:rsid w:val="00165D68"/>
    <w:rsid w:val="001665F6"/>
    <w:rsid w:val="00167094"/>
    <w:rsid w:val="0016765B"/>
    <w:rsid w:val="00170920"/>
    <w:rsid w:val="00170CB8"/>
    <w:rsid w:val="001722D0"/>
    <w:rsid w:val="00172482"/>
    <w:rsid w:val="00173150"/>
    <w:rsid w:val="00174F34"/>
    <w:rsid w:val="001755C8"/>
    <w:rsid w:val="0017566E"/>
    <w:rsid w:val="001756CD"/>
    <w:rsid w:val="00175705"/>
    <w:rsid w:val="001764DD"/>
    <w:rsid w:val="00176E9C"/>
    <w:rsid w:val="00177F58"/>
    <w:rsid w:val="0018276B"/>
    <w:rsid w:val="00182A76"/>
    <w:rsid w:val="0018409E"/>
    <w:rsid w:val="00184BB6"/>
    <w:rsid w:val="00185068"/>
    <w:rsid w:val="001853D3"/>
    <w:rsid w:val="00187B9D"/>
    <w:rsid w:val="00187DF8"/>
    <w:rsid w:val="00192036"/>
    <w:rsid w:val="00193D92"/>
    <w:rsid w:val="0019481B"/>
    <w:rsid w:val="00194F39"/>
    <w:rsid w:val="0019627C"/>
    <w:rsid w:val="001975EB"/>
    <w:rsid w:val="001A043C"/>
    <w:rsid w:val="001A0949"/>
    <w:rsid w:val="001A0C11"/>
    <w:rsid w:val="001A118D"/>
    <w:rsid w:val="001A1E34"/>
    <w:rsid w:val="001A33FC"/>
    <w:rsid w:val="001A354A"/>
    <w:rsid w:val="001A3849"/>
    <w:rsid w:val="001A5678"/>
    <w:rsid w:val="001A6010"/>
    <w:rsid w:val="001A6D27"/>
    <w:rsid w:val="001A6E08"/>
    <w:rsid w:val="001A7509"/>
    <w:rsid w:val="001A793B"/>
    <w:rsid w:val="001A7F4A"/>
    <w:rsid w:val="001B0061"/>
    <w:rsid w:val="001B0CF5"/>
    <w:rsid w:val="001B15B9"/>
    <w:rsid w:val="001B16A2"/>
    <w:rsid w:val="001B3C68"/>
    <w:rsid w:val="001B53CD"/>
    <w:rsid w:val="001B5AF8"/>
    <w:rsid w:val="001B5D2F"/>
    <w:rsid w:val="001B6158"/>
    <w:rsid w:val="001B679C"/>
    <w:rsid w:val="001C087D"/>
    <w:rsid w:val="001C1AB0"/>
    <w:rsid w:val="001C2F8C"/>
    <w:rsid w:val="001C3EFA"/>
    <w:rsid w:val="001C51AE"/>
    <w:rsid w:val="001C5D61"/>
    <w:rsid w:val="001C7374"/>
    <w:rsid w:val="001C73C0"/>
    <w:rsid w:val="001C7875"/>
    <w:rsid w:val="001D1511"/>
    <w:rsid w:val="001D1CD8"/>
    <w:rsid w:val="001D2214"/>
    <w:rsid w:val="001D2901"/>
    <w:rsid w:val="001D30EC"/>
    <w:rsid w:val="001D427F"/>
    <w:rsid w:val="001D4D24"/>
    <w:rsid w:val="001D5084"/>
    <w:rsid w:val="001D6684"/>
    <w:rsid w:val="001D676A"/>
    <w:rsid w:val="001D73B0"/>
    <w:rsid w:val="001E0712"/>
    <w:rsid w:val="001E0DDE"/>
    <w:rsid w:val="001E2811"/>
    <w:rsid w:val="001E2907"/>
    <w:rsid w:val="001E2965"/>
    <w:rsid w:val="001E38DA"/>
    <w:rsid w:val="001E3DA5"/>
    <w:rsid w:val="001E4858"/>
    <w:rsid w:val="001E5084"/>
    <w:rsid w:val="001E59B4"/>
    <w:rsid w:val="001E61F5"/>
    <w:rsid w:val="001E74EF"/>
    <w:rsid w:val="001F0A5F"/>
    <w:rsid w:val="001F2294"/>
    <w:rsid w:val="001F23F4"/>
    <w:rsid w:val="001F391E"/>
    <w:rsid w:val="001F499B"/>
    <w:rsid w:val="001F56BC"/>
    <w:rsid w:val="001F663F"/>
    <w:rsid w:val="001F696B"/>
    <w:rsid w:val="001F6D73"/>
    <w:rsid w:val="001F6F1F"/>
    <w:rsid w:val="002004DF"/>
    <w:rsid w:val="00201E63"/>
    <w:rsid w:val="00203141"/>
    <w:rsid w:val="0020327D"/>
    <w:rsid w:val="0020383D"/>
    <w:rsid w:val="002043B0"/>
    <w:rsid w:val="002057AE"/>
    <w:rsid w:val="00205FDC"/>
    <w:rsid w:val="00210475"/>
    <w:rsid w:val="00211F38"/>
    <w:rsid w:val="00213094"/>
    <w:rsid w:val="002135A0"/>
    <w:rsid w:val="002147A7"/>
    <w:rsid w:val="00214DCE"/>
    <w:rsid w:val="0021611F"/>
    <w:rsid w:val="00217977"/>
    <w:rsid w:val="0022028A"/>
    <w:rsid w:val="00220797"/>
    <w:rsid w:val="00221BAD"/>
    <w:rsid w:val="00222D29"/>
    <w:rsid w:val="00224417"/>
    <w:rsid w:val="002245F3"/>
    <w:rsid w:val="00225FAD"/>
    <w:rsid w:val="0022603F"/>
    <w:rsid w:val="00230107"/>
    <w:rsid w:val="00230808"/>
    <w:rsid w:val="0023160D"/>
    <w:rsid w:val="00234402"/>
    <w:rsid w:val="0023493D"/>
    <w:rsid w:val="002354E3"/>
    <w:rsid w:val="00235559"/>
    <w:rsid w:val="00235B59"/>
    <w:rsid w:val="00236D67"/>
    <w:rsid w:val="00237E50"/>
    <w:rsid w:val="00237EBD"/>
    <w:rsid w:val="00241D83"/>
    <w:rsid w:val="00242894"/>
    <w:rsid w:val="00243938"/>
    <w:rsid w:val="00244DDB"/>
    <w:rsid w:val="0024506C"/>
    <w:rsid w:val="00245672"/>
    <w:rsid w:val="002456CC"/>
    <w:rsid w:val="00251835"/>
    <w:rsid w:val="002518F3"/>
    <w:rsid w:val="002528A3"/>
    <w:rsid w:val="00253876"/>
    <w:rsid w:val="00254884"/>
    <w:rsid w:val="00254A71"/>
    <w:rsid w:val="00254C29"/>
    <w:rsid w:val="00255777"/>
    <w:rsid w:val="00257DA5"/>
    <w:rsid w:val="0026109E"/>
    <w:rsid w:val="002629B4"/>
    <w:rsid w:val="00262D80"/>
    <w:rsid w:val="0026528F"/>
    <w:rsid w:val="002658DA"/>
    <w:rsid w:val="00266D5B"/>
    <w:rsid w:val="002708EB"/>
    <w:rsid w:val="00270AD5"/>
    <w:rsid w:val="00270C9C"/>
    <w:rsid w:val="00270D55"/>
    <w:rsid w:val="002721F6"/>
    <w:rsid w:val="002722D8"/>
    <w:rsid w:val="0027391F"/>
    <w:rsid w:val="0027475D"/>
    <w:rsid w:val="00274E0F"/>
    <w:rsid w:val="0027603D"/>
    <w:rsid w:val="00276081"/>
    <w:rsid w:val="0028130D"/>
    <w:rsid w:val="00281374"/>
    <w:rsid w:val="00282818"/>
    <w:rsid w:val="00285D78"/>
    <w:rsid w:val="00290115"/>
    <w:rsid w:val="0029074E"/>
    <w:rsid w:val="00290E32"/>
    <w:rsid w:val="00291E36"/>
    <w:rsid w:val="00291F1E"/>
    <w:rsid w:val="002920C2"/>
    <w:rsid w:val="00292675"/>
    <w:rsid w:val="00293033"/>
    <w:rsid w:val="0029697E"/>
    <w:rsid w:val="002971B3"/>
    <w:rsid w:val="002A1763"/>
    <w:rsid w:val="002A2E17"/>
    <w:rsid w:val="002A30BF"/>
    <w:rsid w:val="002A3EB9"/>
    <w:rsid w:val="002A7D99"/>
    <w:rsid w:val="002B1468"/>
    <w:rsid w:val="002B1B1F"/>
    <w:rsid w:val="002B1D12"/>
    <w:rsid w:val="002B1E56"/>
    <w:rsid w:val="002B209F"/>
    <w:rsid w:val="002B4651"/>
    <w:rsid w:val="002B5DFD"/>
    <w:rsid w:val="002B6908"/>
    <w:rsid w:val="002B6EC6"/>
    <w:rsid w:val="002B78B2"/>
    <w:rsid w:val="002C167B"/>
    <w:rsid w:val="002C2136"/>
    <w:rsid w:val="002C2A13"/>
    <w:rsid w:val="002C2F3A"/>
    <w:rsid w:val="002C4B37"/>
    <w:rsid w:val="002C5F7B"/>
    <w:rsid w:val="002C68B5"/>
    <w:rsid w:val="002C7D6B"/>
    <w:rsid w:val="002D0EAF"/>
    <w:rsid w:val="002D1C18"/>
    <w:rsid w:val="002D2CB9"/>
    <w:rsid w:val="002D3835"/>
    <w:rsid w:val="002D3CB9"/>
    <w:rsid w:val="002D3D22"/>
    <w:rsid w:val="002D445D"/>
    <w:rsid w:val="002D5029"/>
    <w:rsid w:val="002D6F7D"/>
    <w:rsid w:val="002D74AF"/>
    <w:rsid w:val="002E0072"/>
    <w:rsid w:val="002E0BD2"/>
    <w:rsid w:val="002E12D9"/>
    <w:rsid w:val="002E1459"/>
    <w:rsid w:val="002E33EC"/>
    <w:rsid w:val="002E36EF"/>
    <w:rsid w:val="002E3B59"/>
    <w:rsid w:val="002E4EBC"/>
    <w:rsid w:val="002E4FF2"/>
    <w:rsid w:val="002E5DF4"/>
    <w:rsid w:val="002E6497"/>
    <w:rsid w:val="002E6A32"/>
    <w:rsid w:val="002F0A32"/>
    <w:rsid w:val="002F0F69"/>
    <w:rsid w:val="002F3DC6"/>
    <w:rsid w:val="002F4F86"/>
    <w:rsid w:val="002F5772"/>
    <w:rsid w:val="002F6F52"/>
    <w:rsid w:val="002F7150"/>
    <w:rsid w:val="003008A3"/>
    <w:rsid w:val="003021DE"/>
    <w:rsid w:val="00303041"/>
    <w:rsid w:val="003033F8"/>
    <w:rsid w:val="00303696"/>
    <w:rsid w:val="00303AE0"/>
    <w:rsid w:val="0030503E"/>
    <w:rsid w:val="003055A3"/>
    <w:rsid w:val="0030706F"/>
    <w:rsid w:val="003070A0"/>
    <w:rsid w:val="00307963"/>
    <w:rsid w:val="00307D85"/>
    <w:rsid w:val="0031141F"/>
    <w:rsid w:val="00312823"/>
    <w:rsid w:val="00312EBD"/>
    <w:rsid w:val="00313042"/>
    <w:rsid w:val="00313A62"/>
    <w:rsid w:val="0031475B"/>
    <w:rsid w:val="00314B34"/>
    <w:rsid w:val="00316D51"/>
    <w:rsid w:val="003171BE"/>
    <w:rsid w:val="003175B2"/>
    <w:rsid w:val="003209B3"/>
    <w:rsid w:val="00320B5A"/>
    <w:rsid w:val="0032300A"/>
    <w:rsid w:val="00323590"/>
    <w:rsid w:val="00323A45"/>
    <w:rsid w:val="00323DA5"/>
    <w:rsid w:val="003270EE"/>
    <w:rsid w:val="00327959"/>
    <w:rsid w:val="00330F35"/>
    <w:rsid w:val="00332336"/>
    <w:rsid w:val="00332716"/>
    <w:rsid w:val="003339D8"/>
    <w:rsid w:val="00333A62"/>
    <w:rsid w:val="00333D0C"/>
    <w:rsid w:val="003342EC"/>
    <w:rsid w:val="0033510D"/>
    <w:rsid w:val="00335B30"/>
    <w:rsid w:val="00335D80"/>
    <w:rsid w:val="00335E38"/>
    <w:rsid w:val="00335FB3"/>
    <w:rsid w:val="00337A07"/>
    <w:rsid w:val="00340A25"/>
    <w:rsid w:val="003439FB"/>
    <w:rsid w:val="00343E4A"/>
    <w:rsid w:val="003462E6"/>
    <w:rsid w:val="00346611"/>
    <w:rsid w:val="003470B4"/>
    <w:rsid w:val="00352F1D"/>
    <w:rsid w:val="00354251"/>
    <w:rsid w:val="00354461"/>
    <w:rsid w:val="00354B7D"/>
    <w:rsid w:val="0035559B"/>
    <w:rsid w:val="00357465"/>
    <w:rsid w:val="00360011"/>
    <w:rsid w:val="00360526"/>
    <w:rsid w:val="003616D9"/>
    <w:rsid w:val="00361CD8"/>
    <w:rsid w:val="00362BBF"/>
    <w:rsid w:val="00362D99"/>
    <w:rsid w:val="00362F18"/>
    <w:rsid w:val="00363182"/>
    <w:rsid w:val="00364527"/>
    <w:rsid w:val="003649C4"/>
    <w:rsid w:val="00364D4D"/>
    <w:rsid w:val="00366D59"/>
    <w:rsid w:val="00366EDB"/>
    <w:rsid w:val="003674D6"/>
    <w:rsid w:val="00370A2E"/>
    <w:rsid w:val="003726CA"/>
    <w:rsid w:val="00372E16"/>
    <w:rsid w:val="00373272"/>
    <w:rsid w:val="00374AAF"/>
    <w:rsid w:val="003758BF"/>
    <w:rsid w:val="00375B3B"/>
    <w:rsid w:val="00376A69"/>
    <w:rsid w:val="00376D48"/>
    <w:rsid w:val="003772A4"/>
    <w:rsid w:val="00377423"/>
    <w:rsid w:val="003776B1"/>
    <w:rsid w:val="00377D7F"/>
    <w:rsid w:val="003812EE"/>
    <w:rsid w:val="003816EA"/>
    <w:rsid w:val="00381CFF"/>
    <w:rsid w:val="00382404"/>
    <w:rsid w:val="00382643"/>
    <w:rsid w:val="00382AA1"/>
    <w:rsid w:val="00382CE4"/>
    <w:rsid w:val="00382D56"/>
    <w:rsid w:val="00383CF4"/>
    <w:rsid w:val="00383EC6"/>
    <w:rsid w:val="00384279"/>
    <w:rsid w:val="00386001"/>
    <w:rsid w:val="00387CB5"/>
    <w:rsid w:val="0039006C"/>
    <w:rsid w:val="00390975"/>
    <w:rsid w:val="003917E6"/>
    <w:rsid w:val="0039192F"/>
    <w:rsid w:val="00391B43"/>
    <w:rsid w:val="003922C5"/>
    <w:rsid w:val="003929BC"/>
    <w:rsid w:val="00392BF9"/>
    <w:rsid w:val="00392F99"/>
    <w:rsid w:val="00395503"/>
    <w:rsid w:val="00395D29"/>
    <w:rsid w:val="0039691E"/>
    <w:rsid w:val="00397B28"/>
    <w:rsid w:val="003A006E"/>
    <w:rsid w:val="003A0790"/>
    <w:rsid w:val="003A0D7F"/>
    <w:rsid w:val="003A0FE0"/>
    <w:rsid w:val="003A2675"/>
    <w:rsid w:val="003A2949"/>
    <w:rsid w:val="003A57C0"/>
    <w:rsid w:val="003A6A06"/>
    <w:rsid w:val="003A7C63"/>
    <w:rsid w:val="003B0F24"/>
    <w:rsid w:val="003B1561"/>
    <w:rsid w:val="003B2637"/>
    <w:rsid w:val="003B3129"/>
    <w:rsid w:val="003B5250"/>
    <w:rsid w:val="003B579B"/>
    <w:rsid w:val="003B6536"/>
    <w:rsid w:val="003B700C"/>
    <w:rsid w:val="003B75A3"/>
    <w:rsid w:val="003B75EE"/>
    <w:rsid w:val="003B78EC"/>
    <w:rsid w:val="003C0664"/>
    <w:rsid w:val="003C26D3"/>
    <w:rsid w:val="003C26F3"/>
    <w:rsid w:val="003C292C"/>
    <w:rsid w:val="003C41C2"/>
    <w:rsid w:val="003C491C"/>
    <w:rsid w:val="003C53A6"/>
    <w:rsid w:val="003C5434"/>
    <w:rsid w:val="003C63AC"/>
    <w:rsid w:val="003C6426"/>
    <w:rsid w:val="003C7507"/>
    <w:rsid w:val="003C7DD5"/>
    <w:rsid w:val="003D0A11"/>
    <w:rsid w:val="003D14EA"/>
    <w:rsid w:val="003D29C4"/>
    <w:rsid w:val="003D2BF0"/>
    <w:rsid w:val="003D35C3"/>
    <w:rsid w:val="003D3E9A"/>
    <w:rsid w:val="003D448D"/>
    <w:rsid w:val="003D4942"/>
    <w:rsid w:val="003E03BF"/>
    <w:rsid w:val="003E09A5"/>
    <w:rsid w:val="003E19A8"/>
    <w:rsid w:val="003E1A5C"/>
    <w:rsid w:val="003E2679"/>
    <w:rsid w:val="003E3409"/>
    <w:rsid w:val="003E36CA"/>
    <w:rsid w:val="003E4F20"/>
    <w:rsid w:val="003E5416"/>
    <w:rsid w:val="003E57E6"/>
    <w:rsid w:val="003E64F4"/>
    <w:rsid w:val="003E67BA"/>
    <w:rsid w:val="003E6A6B"/>
    <w:rsid w:val="003E6AF2"/>
    <w:rsid w:val="003E71D0"/>
    <w:rsid w:val="003E7428"/>
    <w:rsid w:val="003E7814"/>
    <w:rsid w:val="003E798E"/>
    <w:rsid w:val="003E7B34"/>
    <w:rsid w:val="003F08DF"/>
    <w:rsid w:val="003F0B9A"/>
    <w:rsid w:val="003F0C22"/>
    <w:rsid w:val="003F0C84"/>
    <w:rsid w:val="003F281F"/>
    <w:rsid w:val="003F3D33"/>
    <w:rsid w:val="003F49BD"/>
    <w:rsid w:val="003F54F8"/>
    <w:rsid w:val="003F62D3"/>
    <w:rsid w:val="003F6DF0"/>
    <w:rsid w:val="004035AE"/>
    <w:rsid w:val="00404357"/>
    <w:rsid w:val="00404855"/>
    <w:rsid w:val="00404F18"/>
    <w:rsid w:val="0040647A"/>
    <w:rsid w:val="00407398"/>
    <w:rsid w:val="00407634"/>
    <w:rsid w:val="00410896"/>
    <w:rsid w:val="004116BF"/>
    <w:rsid w:val="0041208B"/>
    <w:rsid w:val="00412AFD"/>
    <w:rsid w:val="004130B7"/>
    <w:rsid w:val="004133E3"/>
    <w:rsid w:val="00414008"/>
    <w:rsid w:val="004147CB"/>
    <w:rsid w:val="0041580C"/>
    <w:rsid w:val="004158BB"/>
    <w:rsid w:val="00416BEA"/>
    <w:rsid w:val="004231C9"/>
    <w:rsid w:val="00424AAE"/>
    <w:rsid w:val="00425DFE"/>
    <w:rsid w:val="00425F15"/>
    <w:rsid w:val="00426406"/>
    <w:rsid w:val="00426B0A"/>
    <w:rsid w:val="00427436"/>
    <w:rsid w:val="0042761A"/>
    <w:rsid w:val="0043058A"/>
    <w:rsid w:val="00431439"/>
    <w:rsid w:val="00431F67"/>
    <w:rsid w:val="00432AB1"/>
    <w:rsid w:val="00432CD2"/>
    <w:rsid w:val="004336AE"/>
    <w:rsid w:val="00434C7D"/>
    <w:rsid w:val="004350C7"/>
    <w:rsid w:val="004352C5"/>
    <w:rsid w:val="004379F4"/>
    <w:rsid w:val="00440CF4"/>
    <w:rsid w:val="00440D15"/>
    <w:rsid w:val="00441D5F"/>
    <w:rsid w:val="0044204B"/>
    <w:rsid w:val="00442629"/>
    <w:rsid w:val="004432B3"/>
    <w:rsid w:val="00443E93"/>
    <w:rsid w:val="00445598"/>
    <w:rsid w:val="004470C0"/>
    <w:rsid w:val="00450060"/>
    <w:rsid w:val="00450624"/>
    <w:rsid w:val="00452EFA"/>
    <w:rsid w:val="00452FB1"/>
    <w:rsid w:val="004535C9"/>
    <w:rsid w:val="00453A18"/>
    <w:rsid w:val="00453B84"/>
    <w:rsid w:val="00456E9E"/>
    <w:rsid w:val="00457DAF"/>
    <w:rsid w:val="00460B5D"/>
    <w:rsid w:val="00461105"/>
    <w:rsid w:val="00461F6A"/>
    <w:rsid w:val="00467F09"/>
    <w:rsid w:val="0047087F"/>
    <w:rsid w:val="0047155F"/>
    <w:rsid w:val="00471F64"/>
    <w:rsid w:val="004776CE"/>
    <w:rsid w:val="004826CB"/>
    <w:rsid w:val="00483423"/>
    <w:rsid w:val="0048396E"/>
    <w:rsid w:val="00484BCD"/>
    <w:rsid w:val="004864F2"/>
    <w:rsid w:val="004867A4"/>
    <w:rsid w:val="00487E62"/>
    <w:rsid w:val="00487FCB"/>
    <w:rsid w:val="00490478"/>
    <w:rsid w:val="00490CB0"/>
    <w:rsid w:val="00495BEB"/>
    <w:rsid w:val="004A09F1"/>
    <w:rsid w:val="004A18AF"/>
    <w:rsid w:val="004A1B89"/>
    <w:rsid w:val="004A2E75"/>
    <w:rsid w:val="004A2FC2"/>
    <w:rsid w:val="004A3C5D"/>
    <w:rsid w:val="004A44D9"/>
    <w:rsid w:val="004A526B"/>
    <w:rsid w:val="004A6519"/>
    <w:rsid w:val="004A67F2"/>
    <w:rsid w:val="004A728E"/>
    <w:rsid w:val="004A74A4"/>
    <w:rsid w:val="004A79AC"/>
    <w:rsid w:val="004A7D3A"/>
    <w:rsid w:val="004B056E"/>
    <w:rsid w:val="004B0BB5"/>
    <w:rsid w:val="004B1817"/>
    <w:rsid w:val="004B1A7B"/>
    <w:rsid w:val="004B44C5"/>
    <w:rsid w:val="004B4CB1"/>
    <w:rsid w:val="004B5D3E"/>
    <w:rsid w:val="004B7C87"/>
    <w:rsid w:val="004C029B"/>
    <w:rsid w:val="004C10CF"/>
    <w:rsid w:val="004C2F11"/>
    <w:rsid w:val="004C349F"/>
    <w:rsid w:val="004C36BF"/>
    <w:rsid w:val="004C43A7"/>
    <w:rsid w:val="004C54BE"/>
    <w:rsid w:val="004C63A7"/>
    <w:rsid w:val="004C74B5"/>
    <w:rsid w:val="004C7BD3"/>
    <w:rsid w:val="004D1602"/>
    <w:rsid w:val="004D28E8"/>
    <w:rsid w:val="004D2970"/>
    <w:rsid w:val="004D54AE"/>
    <w:rsid w:val="004D5770"/>
    <w:rsid w:val="004D5B02"/>
    <w:rsid w:val="004D69BB"/>
    <w:rsid w:val="004D71FD"/>
    <w:rsid w:val="004E09EC"/>
    <w:rsid w:val="004E0FE3"/>
    <w:rsid w:val="004E2EFD"/>
    <w:rsid w:val="004E6081"/>
    <w:rsid w:val="004E60A7"/>
    <w:rsid w:val="004E640A"/>
    <w:rsid w:val="004E6843"/>
    <w:rsid w:val="004F178B"/>
    <w:rsid w:val="004F269B"/>
    <w:rsid w:val="004F2896"/>
    <w:rsid w:val="004F2FAB"/>
    <w:rsid w:val="004F308F"/>
    <w:rsid w:val="004F39D7"/>
    <w:rsid w:val="004F3F59"/>
    <w:rsid w:val="004F69BA"/>
    <w:rsid w:val="004F75F9"/>
    <w:rsid w:val="004F78C2"/>
    <w:rsid w:val="004F7FFB"/>
    <w:rsid w:val="0050067F"/>
    <w:rsid w:val="00500D00"/>
    <w:rsid w:val="0050176C"/>
    <w:rsid w:val="00501819"/>
    <w:rsid w:val="005018A3"/>
    <w:rsid w:val="00504470"/>
    <w:rsid w:val="00504E6A"/>
    <w:rsid w:val="00505757"/>
    <w:rsid w:val="00505999"/>
    <w:rsid w:val="00505DFE"/>
    <w:rsid w:val="00506CD6"/>
    <w:rsid w:val="00510CA3"/>
    <w:rsid w:val="00511B16"/>
    <w:rsid w:val="00511DCE"/>
    <w:rsid w:val="00512576"/>
    <w:rsid w:val="00513280"/>
    <w:rsid w:val="005137C7"/>
    <w:rsid w:val="00515BBB"/>
    <w:rsid w:val="00515E82"/>
    <w:rsid w:val="005166ED"/>
    <w:rsid w:val="005170E7"/>
    <w:rsid w:val="00520187"/>
    <w:rsid w:val="0052180A"/>
    <w:rsid w:val="00521905"/>
    <w:rsid w:val="00521BFE"/>
    <w:rsid w:val="005231B3"/>
    <w:rsid w:val="00523A72"/>
    <w:rsid w:val="00524351"/>
    <w:rsid w:val="00524520"/>
    <w:rsid w:val="00525657"/>
    <w:rsid w:val="00525C89"/>
    <w:rsid w:val="0052678F"/>
    <w:rsid w:val="00530C8A"/>
    <w:rsid w:val="00531C25"/>
    <w:rsid w:val="0053276B"/>
    <w:rsid w:val="00532C4F"/>
    <w:rsid w:val="0053301B"/>
    <w:rsid w:val="00533028"/>
    <w:rsid w:val="00533E90"/>
    <w:rsid w:val="0053441D"/>
    <w:rsid w:val="00534D7A"/>
    <w:rsid w:val="00535DA1"/>
    <w:rsid w:val="005363E7"/>
    <w:rsid w:val="005369AD"/>
    <w:rsid w:val="00537787"/>
    <w:rsid w:val="00542573"/>
    <w:rsid w:val="00543721"/>
    <w:rsid w:val="00543CF5"/>
    <w:rsid w:val="00547385"/>
    <w:rsid w:val="005474F6"/>
    <w:rsid w:val="00552199"/>
    <w:rsid w:val="005521E8"/>
    <w:rsid w:val="0055401F"/>
    <w:rsid w:val="0055437F"/>
    <w:rsid w:val="00554802"/>
    <w:rsid w:val="00555C05"/>
    <w:rsid w:val="005561E8"/>
    <w:rsid w:val="0055642B"/>
    <w:rsid w:val="00556F35"/>
    <w:rsid w:val="005573A7"/>
    <w:rsid w:val="00557B40"/>
    <w:rsid w:val="005609BB"/>
    <w:rsid w:val="00560EC1"/>
    <w:rsid w:val="00561CC0"/>
    <w:rsid w:val="00562302"/>
    <w:rsid w:val="00564A99"/>
    <w:rsid w:val="00566969"/>
    <w:rsid w:val="00566AE1"/>
    <w:rsid w:val="00567F02"/>
    <w:rsid w:val="00575185"/>
    <w:rsid w:val="00577C93"/>
    <w:rsid w:val="00577D77"/>
    <w:rsid w:val="005824E4"/>
    <w:rsid w:val="00583155"/>
    <w:rsid w:val="0058346C"/>
    <w:rsid w:val="00583EE7"/>
    <w:rsid w:val="00586D8D"/>
    <w:rsid w:val="00587662"/>
    <w:rsid w:val="00587823"/>
    <w:rsid w:val="00587E16"/>
    <w:rsid w:val="00587F44"/>
    <w:rsid w:val="0059091C"/>
    <w:rsid w:val="00590F57"/>
    <w:rsid w:val="00592B5E"/>
    <w:rsid w:val="005940B7"/>
    <w:rsid w:val="005948FC"/>
    <w:rsid w:val="00596EC2"/>
    <w:rsid w:val="00597062"/>
    <w:rsid w:val="005976A9"/>
    <w:rsid w:val="005A0C90"/>
    <w:rsid w:val="005A0DF9"/>
    <w:rsid w:val="005A0FC8"/>
    <w:rsid w:val="005A231B"/>
    <w:rsid w:val="005A2E70"/>
    <w:rsid w:val="005A3975"/>
    <w:rsid w:val="005A4814"/>
    <w:rsid w:val="005A4D7A"/>
    <w:rsid w:val="005A57F7"/>
    <w:rsid w:val="005A60B1"/>
    <w:rsid w:val="005A61AC"/>
    <w:rsid w:val="005A7FA3"/>
    <w:rsid w:val="005B0E3B"/>
    <w:rsid w:val="005B1A22"/>
    <w:rsid w:val="005B25FE"/>
    <w:rsid w:val="005B2C9A"/>
    <w:rsid w:val="005B693C"/>
    <w:rsid w:val="005B6EA2"/>
    <w:rsid w:val="005B777D"/>
    <w:rsid w:val="005C045A"/>
    <w:rsid w:val="005C0463"/>
    <w:rsid w:val="005C046E"/>
    <w:rsid w:val="005C0490"/>
    <w:rsid w:val="005C062F"/>
    <w:rsid w:val="005C0677"/>
    <w:rsid w:val="005C099C"/>
    <w:rsid w:val="005C0A6C"/>
    <w:rsid w:val="005C0F00"/>
    <w:rsid w:val="005C121C"/>
    <w:rsid w:val="005C2652"/>
    <w:rsid w:val="005C2A92"/>
    <w:rsid w:val="005C3E8D"/>
    <w:rsid w:val="005C4634"/>
    <w:rsid w:val="005C4EF5"/>
    <w:rsid w:val="005C512D"/>
    <w:rsid w:val="005C5447"/>
    <w:rsid w:val="005C67CD"/>
    <w:rsid w:val="005C7E52"/>
    <w:rsid w:val="005D0B10"/>
    <w:rsid w:val="005D1373"/>
    <w:rsid w:val="005D16B1"/>
    <w:rsid w:val="005D2210"/>
    <w:rsid w:val="005D2756"/>
    <w:rsid w:val="005D2D06"/>
    <w:rsid w:val="005D2EE2"/>
    <w:rsid w:val="005D361D"/>
    <w:rsid w:val="005D6620"/>
    <w:rsid w:val="005D6C54"/>
    <w:rsid w:val="005D6D6B"/>
    <w:rsid w:val="005E12C0"/>
    <w:rsid w:val="005E15B3"/>
    <w:rsid w:val="005E2A4A"/>
    <w:rsid w:val="005E2D5A"/>
    <w:rsid w:val="005E392B"/>
    <w:rsid w:val="005E39FB"/>
    <w:rsid w:val="005E4095"/>
    <w:rsid w:val="005E451C"/>
    <w:rsid w:val="005E4FE3"/>
    <w:rsid w:val="005E56CE"/>
    <w:rsid w:val="005E60A3"/>
    <w:rsid w:val="005F0673"/>
    <w:rsid w:val="005F0995"/>
    <w:rsid w:val="005F2302"/>
    <w:rsid w:val="005F712C"/>
    <w:rsid w:val="00600148"/>
    <w:rsid w:val="00601859"/>
    <w:rsid w:val="00602CF5"/>
    <w:rsid w:val="00603138"/>
    <w:rsid w:val="0060457F"/>
    <w:rsid w:val="00604F11"/>
    <w:rsid w:val="00606379"/>
    <w:rsid w:val="00606E02"/>
    <w:rsid w:val="006078D6"/>
    <w:rsid w:val="00607ED8"/>
    <w:rsid w:val="00610797"/>
    <w:rsid w:val="006110F9"/>
    <w:rsid w:val="00612233"/>
    <w:rsid w:val="00613BD6"/>
    <w:rsid w:val="00613C68"/>
    <w:rsid w:val="00614978"/>
    <w:rsid w:val="00615B21"/>
    <w:rsid w:val="006164C6"/>
    <w:rsid w:val="00616715"/>
    <w:rsid w:val="00616A1C"/>
    <w:rsid w:val="006172E7"/>
    <w:rsid w:val="006174D8"/>
    <w:rsid w:val="00620BC0"/>
    <w:rsid w:val="00621BE4"/>
    <w:rsid w:val="00621D8C"/>
    <w:rsid w:val="00622BAB"/>
    <w:rsid w:val="00624E7D"/>
    <w:rsid w:val="006309FE"/>
    <w:rsid w:val="00630F97"/>
    <w:rsid w:val="006332F5"/>
    <w:rsid w:val="006335C7"/>
    <w:rsid w:val="00634D03"/>
    <w:rsid w:val="006355A5"/>
    <w:rsid w:val="00635DBD"/>
    <w:rsid w:val="006366B0"/>
    <w:rsid w:val="00636766"/>
    <w:rsid w:val="00636BA5"/>
    <w:rsid w:val="00637171"/>
    <w:rsid w:val="00637DAC"/>
    <w:rsid w:val="00640849"/>
    <w:rsid w:val="00640A65"/>
    <w:rsid w:val="00640E9B"/>
    <w:rsid w:val="00641287"/>
    <w:rsid w:val="006436EB"/>
    <w:rsid w:val="0064385D"/>
    <w:rsid w:val="00643972"/>
    <w:rsid w:val="00644597"/>
    <w:rsid w:val="006445EA"/>
    <w:rsid w:val="006453A1"/>
    <w:rsid w:val="00645433"/>
    <w:rsid w:val="00646348"/>
    <w:rsid w:val="0064659C"/>
    <w:rsid w:val="00646D16"/>
    <w:rsid w:val="0064714A"/>
    <w:rsid w:val="00647422"/>
    <w:rsid w:val="00650E09"/>
    <w:rsid w:val="006516F4"/>
    <w:rsid w:val="00655587"/>
    <w:rsid w:val="0065682D"/>
    <w:rsid w:val="00656E35"/>
    <w:rsid w:val="006572D5"/>
    <w:rsid w:val="006601A0"/>
    <w:rsid w:val="00660909"/>
    <w:rsid w:val="00660C6D"/>
    <w:rsid w:val="00661C7D"/>
    <w:rsid w:val="006624A1"/>
    <w:rsid w:val="00663139"/>
    <w:rsid w:val="006631AF"/>
    <w:rsid w:val="00664825"/>
    <w:rsid w:val="00665597"/>
    <w:rsid w:val="00667684"/>
    <w:rsid w:val="006679F4"/>
    <w:rsid w:val="00672632"/>
    <w:rsid w:val="00672905"/>
    <w:rsid w:val="00673E88"/>
    <w:rsid w:val="00674D25"/>
    <w:rsid w:val="006753EB"/>
    <w:rsid w:val="00675D88"/>
    <w:rsid w:val="00676F4B"/>
    <w:rsid w:val="0067769D"/>
    <w:rsid w:val="0067786D"/>
    <w:rsid w:val="00681BC4"/>
    <w:rsid w:val="00682D13"/>
    <w:rsid w:val="00683F75"/>
    <w:rsid w:val="00684550"/>
    <w:rsid w:val="00685F27"/>
    <w:rsid w:val="00686C96"/>
    <w:rsid w:val="00687B88"/>
    <w:rsid w:val="00690619"/>
    <w:rsid w:val="00691610"/>
    <w:rsid w:val="006916F5"/>
    <w:rsid w:val="00691D3C"/>
    <w:rsid w:val="006927BF"/>
    <w:rsid w:val="00692A0C"/>
    <w:rsid w:val="00692F3A"/>
    <w:rsid w:val="00693403"/>
    <w:rsid w:val="006944AD"/>
    <w:rsid w:val="00694823"/>
    <w:rsid w:val="00695976"/>
    <w:rsid w:val="00696221"/>
    <w:rsid w:val="00696B32"/>
    <w:rsid w:val="00696D67"/>
    <w:rsid w:val="006976CB"/>
    <w:rsid w:val="006A14AB"/>
    <w:rsid w:val="006A20A1"/>
    <w:rsid w:val="006A32A2"/>
    <w:rsid w:val="006A424C"/>
    <w:rsid w:val="006A42FA"/>
    <w:rsid w:val="006A497C"/>
    <w:rsid w:val="006A5279"/>
    <w:rsid w:val="006A58FF"/>
    <w:rsid w:val="006A5C13"/>
    <w:rsid w:val="006A6102"/>
    <w:rsid w:val="006A6B38"/>
    <w:rsid w:val="006A6D53"/>
    <w:rsid w:val="006A7960"/>
    <w:rsid w:val="006B15F8"/>
    <w:rsid w:val="006B331B"/>
    <w:rsid w:val="006B3FF2"/>
    <w:rsid w:val="006B41D5"/>
    <w:rsid w:val="006B4572"/>
    <w:rsid w:val="006B65A3"/>
    <w:rsid w:val="006B6D7F"/>
    <w:rsid w:val="006C038B"/>
    <w:rsid w:val="006C3BFF"/>
    <w:rsid w:val="006D1653"/>
    <w:rsid w:val="006D44DD"/>
    <w:rsid w:val="006D5E5E"/>
    <w:rsid w:val="006D6011"/>
    <w:rsid w:val="006E0337"/>
    <w:rsid w:val="006E1005"/>
    <w:rsid w:val="006E1A3E"/>
    <w:rsid w:val="006E1D7F"/>
    <w:rsid w:val="006E270B"/>
    <w:rsid w:val="006E2831"/>
    <w:rsid w:val="006E33FA"/>
    <w:rsid w:val="006E3F66"/>
    <w:rsid w:val="006E4109"/>
    <w:rsid w:val="006E4520"/>
    <w:rsid w:val="006E48C3"/>
    <w:rsid w:val="006E4BA3"/>
    <w:rsid w:val="006E54D1"/>
    <w:rsid w:val="006E5A16"/>
    <w:rsid w:val="006E6F63"/>
    <w:rsid w:val="006E74CC"/>
    <w:rsid w:val="006F030E"/>
    <w:rsid w:val="006F23A8"/>
    <w:rsid w:val="006F2563"/>
    <w:rsid w:val="006F4B61"/>
    <w:rsid w:val="006F5B23"/>
    <w:rsid w:val="006F5EB5"/>
    <w:rsid w:val="006F64AD"/>
    <w:rsid w:val="006F666C"/>
    <w:rsid w:val="006F76A6"/>
    <w:rsid w:val="00700A22"/>
    <w:rsid w:val="00701536"/>
    <w:rsid w:val="007020FB"/>
    <w:rsid w:val="00703497"/>
    <w:rsid w:val="007040A8"/>
    <w:rsid w:val="00705FA4"/>
    <w:rsid w:val="0070655C"/>
    <w:rsid w:val="007066D2"/>
    <w:rsid w:val="0070684B"/>
    <w:rsid w:val="00707410"/>
    <w:rsid w:val="00707671"/>
    <w:rsid w:val="0071132D"/>
    <w:rsid w:val="00711BDE"/>
    <w:rsid w:val="00712405"/>
    <w:rsid w:val="00715CE3"/>
    <w:rsid w:val="007163F5"/>
    <w:rsid w:val="00716C34"/>
    <w:rsid w:val="00717BF2"/>
    <w:rsid w:val="00722B94"/>
    <w:rsid w:val="007250E1"/>
    <w:rsid w:val="00725C15"/>
    <w:rsid w:val="00726428"/>
    <w:rsid w:val="007310EC"/>
    <w:rsid w:val="0073453D"/>
    <w:rsid w:val="007351E0"/>
    <w:rsid w:val="007359F6"/>
    <w:rsid w:val="007401D5"/>
    <w:rsid w:val="007412B4"/>
    <w:rsid w:val="00742213"/>
    <w:rsid w:val="00742F3A"/>
    <w:rsid w:val="00743151"/>
    <w:rsid w:val="00743DE8"/>
    <w:rsid w:val="007469F1"/>
    <w:rsid w:val="00746B30"/>
    <w:rsid w:val="0075007C"/>
    <w:rsid w:val="0075043E"/>
    <w:rsid w:val="0075129A"/>
    <w:rsid w:val="0075147E"/>
    <w:rsid w:val="0075171E"/>
    <w:rsid w:val="00751A5E"/>
    <w:rsid w:val="00754832"/>
    <w:rsid w:val="00755643"/>
    <w:rsid w:val="00755F2D"/>
    <w:rsid w:val="007562D0"/>
    <w:rsid w:val="00756755"/>
    <w:rsid w:val="00756C3A"/>
    <w:rsid w:val="00761399"/>
    <w:rsid w:val="0076203C"/>
    <w:rsid w:val="0076301C"/>
    <w:rsid w:val="00763875"/>
    <w:rsid w:val="00764C2C"/>
    <w:rsid w:val="007664E8"/>
    <w:rsid w:val="0077035D"/>
    <w:rsid w:val="0077071D"/>
    <w:rsid w:val="007718CB"/>
    <w:rsid w:val="0077200A"/>
    <w:rsid w:val="00772A5A"/>
    <w:rsid w:val="00772A62"/>
    <w:rsid w:val="007740A1"/>
    <w:rsid w:val="007743C1"/>
    <w:rsid w:val="00774508"/>
    <w:rsid w:val="00775395"/>
    <w:rsid w:val="00775DDC"/>
    <w:rsid w:val="0077679D"/>
    <w:rsid w:val="00776AA0"/>
    <w:rsid w:val="00776C3B"/>
    <w:rsid w:val="00776CDF"/>
    <w:rsid w:val="0077729D"/>
    <w:rsid w:val="00781C7C"/>
    <w:rsid w:val="00782825"/>
    <w:rsid w:val="00782DDF"/>
    <w:rsid w:val="00782FD1"/>
    <w:rsid w:val="00785784"/>
    <w:rsid w:val="007870C4"/>
    <w:rsid w:val="00787642"/>
    <w:rsid w:val="007926F7"/>
    <w:rsid w:val="007930DB"/>
    <w:rsid w:val="00793DF2"/>
    <w:rsid w:val="00795C43"/>
    <w:rsid w:val="0079764D"/>
    <w:rsid w:val="007A04A9"/>
    <w:rsid w:val="007A1788"/>
    <w:rsid w:val="007A19B0"/>
    <w:rsid w:val="007A3334"/>
    <w:rsid w:val="007A4262"/>
    <w:rsid w:val="007A53CF"/>
    <w:rsid w:val="007A67B4"/>
    <w:rsid w:val="007B0199"/>
    <w:rsid w:val="007B0A02"/>
    <w:rsid w:val="007B42D3"/>
    <w:rsid w:val="007B47DE"/>
    <w:rsid w:val="007B4E8F"/>
    <w:rsid w:val="007B4F04"/>
    <w:rsid w:val="007B516D"/>
    <w:rsid w:val="007B66E0"/>
    <w:rsid w:val="007B6829"/>
    <w:rsid w:val="007B6BBE"/>
    <w:rsid w:val="007C1168"/>
    <w:rsid w:val="007C24E8"/>
    <w:rsid w:val="007C271C"/>
    <w:rsid w:val="007C34D4"/>
    <w:rsid w:val="007C3508"/>
    <w:rsid w:val="007C3593"/>
    <w:rsid w:val="007C3D98"/>
    <w:rsid w:val="007C4038"/>
    <w:rsid w:val="007C4E29"/>
    <w:rsid w:val="007C5C6F"/>
    <w:rsid w:val="007D06FF"/>
    <w:rsid w:val="007D2082"/>
    <w:rsid w:val="007D28EF"/>
    <w:rsid w:val="007D3614"/>
    <w:rsid w:val="007D54B9"/>
    <w:rsid w:val="007D5691"/>
    <w:rsid w:val="007D5C49"/>
    <w:rsid w:val="007D6271"/>
    <w:rsid w:val="007E0C1C"/>
    <w:rsid w:val="007E2409"/>
    <w:rsid w:val="007E2C65"/>
    <w:rsid w:val="007E4110"/>
    <w:rsid w:val="007E436A"/>
    <w:rsid w:val="007E5107"/>
    <w:rsid w:val="007E76CB"/>
    <w:rsid w:val="007E7965"/>
    <w:rsid w:val="007E7D8A"/>
    <w:rsid w:val="007F05EC"/>
    <w:rsid w:val="007F0B6B"/>
    <w:rsid w:val="007F0BD3"/>
    <w:rsid w:val="007F1D19"/>
    <w:rsid w:val="007F1DE5"/>
    <w:rsid w:val="007F270F"/>
    <w:rsid w:val="007F2F88"/>
    <w:rsid w:val="007F46BA"/>
    <w:rsid w:val="007F4A5C"/>
    <w:rsid w:val="007F571E"/>
    <w:rsid w:val="007F6803"/>
    <w:rsid w:val="007F6B12"/>
    <w:rsid w:val="007F6C95"/>
    <w:rsid w:val="007F716B"/>
    <w:rsid w:val="007F7F7D"/>
    <w:rsid w:val="008000EE"/>
    <w:rsid w:val="00800B86"/>
    <w:rsid w:val="00800C0B"/>
    <w:rsid w:val="0080137D"/>
    <w:rsid w:val="0080185E"/>
    <w:rsid w:val="00801EC3"/>
    <w:rsid w:val="008053B1"/>
    <w:rsid w:val="00805DF4"/>
    <w:rsid w:val="008115E5"/>
    <w:rsid w:val="0081161D"/>
    <w:rsid w:val="008145E5"/>
    <w:rsid w:val="008157A5"/>
    <w:rsid w:val="0081730B"/>
    <w:rsid w:val="00822B82"/>
    <w:rsid w:val="00825321"/>
    <w:rsid w:val="00825503"/>
    <w:rsid w:val="00827F42"/>
    <w:rsid w:val="0083087B"/>
    <w:rsid w:val="0083256E"/>
    <w:rsid w:val="008327BF"/>
    <w:rsid w:val="00832BF7"/>
    <w:rsid w:val="00834625"/>
    <w:rsid w:val="00834791"/>
    <w:rsid w:val="008355A5"/>
    <w:rsid w:val="008376A1"/>
    <w:rsid w:val="00841737"/>
    <w:rsid w:val="00843606"/>
    <w:rsid w:val="00843AB1"/>
    <w:rsid w:val="00845157"/>
    <w:rsid w:val="00845777"/>
    <w:rsid w:val="00845BAC"/>
    <w:rsid w:val="008464C6"/>
    <w:rsid w:val="008471C4"/>
    <w:rsid w:val="008518C7"/>
    <w:rsid w:val="008520AE"/>
    <w:rsid w:val="00853058"/>
    <w:rsid w:val="008538CF"/>
    <w:rsid w:val="00853D3F"/>
    <w:rsid w:val="0085699A"/>
    <w:rsid w:val="008618AD"/>
    <w:rsid w:val="00861982"/>
    <w:rsid w:val="00861C7C"/>
    <w:rsid w:val="00863214"/>
    <w:rsid w:val="00863596"/>
    <w:rsid w:val="00864482"/>
    <w:rsid w:val="00866F4A"/>
    <w:rsid w:val="008678B0"/>
    <w:rsid w:val="00870355"/>
    <w:rsid w:val="00870781"/>
    <w:rsid w:val="00872576"/>
    <w:rsid w:val="00872C6B"/>
    <w:rsid w:val="008730EF"/>
    <w:rsid w:val="00873914"/>
    <w:rsid w:val="00873A6B"/>
    <w:rsid w:val="00874668"/>
    <w:rsid w:val="00875464"/>
    <w:rsid w:val="0087580B"/>
    <w:rsid w:val="008809B0"/>
    <w:rsid w:val="008830FD"/>
    <w:rsid w:val="00884624"/>
    <w:rsid w:val="0088594C"/>
    <w:rsid w:val="00885F17"/>
    <w:rsid w:val="00887791"/>
    <w:rsid w:val="00887AB1"/>
    <w:rsid w:val="008900A9"/>
    <w:rsid w:val="0089024B"/>
    <w:rsid w:val="00891857"/>
    <w:rsid w:val="00892276"/>
    <w:rsid w:val="00892A23"/>
    <w:rsid w:val="00894853"/>
    <w:rsid w:val="00895423"/>
    <w:rsid w:val="00897C07"/>
    <w:rsid w:val="008A0090"/>
    <w:rsid w:val="008A1B3E"/>
    <w:rsid w:val="008A1B51"/>
    <w:rsid w:val="008A2806"/>
    <w:rsid w:val="008A2E9A"/>
    <w:rsid w:val="008A2FF5"/>
    <w:rsid w:val="008A369B"/>
    <w:rsid w:val="008A49FC"/>
    <w:rsid w:val="008A4ECF"/>
    <w:rsid w:val="008A6F2C"/>
    <w:rsid w:val="008A6FEC"/>
    <w:rsid w:val="008A7149"/>
    <w:rsid w:val="008A7A8A"/>
    <w:rsid w:val="008B11ED"/>
    <w:rsid w:val="008B1BAC"/>
    <w:rsid w:val="008B2466"/>
    <w:rsid w:val="008B31D4"/>
    <w:rsid w:val="008B3667"/>
    <w:rsid w:val="008B3C87"/>
    <w:rsid w:val="008B4B34"/>
    <w:rsid w:val="008B53F4"/>
    <w:rsid w:val="008C0640"/>
    <w:rsid w:val="008C08DA"/>
    <w:rsid w:val="008C0C55"/>
    <w:rsid w:val="008C0D80"/>
    <w:rsid w:val="008C14D0"/>
    <w:rsid w:val="008C1DF7"/>
    <w:rsid w:val="008C2809"/>
    <w:rsid w:val="008C3612"/>
    <w:rsid w:val="008C399D"/>
    <w:rsid w:val="008C4D3F"/>
    <w:rsid w:val="008C5152"/>
    <w:rsid w:val="008C5252"/>
    <w:rsid w:val="008C52EF"/>
    <w:rsid w:val="008C5B3F"/>
    <w:rsid w:val="008C5B63"/>
    <w:rsid w:val="008C5FA6"/>
    <w:rsid w:val="008D02B2"/>
    <w:rsid w:val="008D0C7D"/>
    <w:rsid w:val="008D1250"/>
    <w:rsid w:val="008D315B"/>
    <w:rsid w:val="008D35E2"/>
    <w:rsid w:val="008D45FC"/>
    <w:rsid w:val="008D46FB"/>
    <w:rsid w:val="008D4CD5"/>
    <w:rsid w:val="008D4CF5"/>
    <w:rsid w:val="008E0A61"/>
    <w:rsid w:val="008E1A03"/>
    <w:rsid w:val="008E1FD0"/>
    <w:rsid w:val="008E35C7"/>
    <w:rsid w:val="008E372D"/>
    <w:rsid w:val="008E39CF"/>
    <w:rsid w:val="008E495A"/>
    <w:rsid w:val="008E4E2A"/>
    <w:rsid w:val="008E5161"/>
    <w:rsid w:val="008E522F"/>
    <w:rsid w:val="008E664A"/>
    <w:rsid w:val="008E7F77"/>
    <w:rsid w:val="008F02FE"/>
    <w:rsid w:val="008F1759"/>
    <w:rsid w:val="008F1990"/>
    <w:rsid w:val="008F2E6D"/>
    <w:rsid w:val="008F3D1E"/>
    <w:rsid w:val="008F5045"/>
    <w:rsid w:val="008F5635"/>
    <w:rsid w:val="008F583F"/>
    <w:rsid w:val="008F6603"/>
    <w:rsid w:val="008F7BB4"/>
    <w:rsid w:val="00902E3C"/>
    <w:rsid w:val="00911469"/>
    <w:rsid w:val="009119E0"/>
    <w:rsid w:val="00911CF2"/>
    <w:rsid w:val="00911DD3"/>
    <w:rsid w:val="009128EE"/>
    <w:rsid w:val="00912CF0"/>
    <w:rsid w:val="0091347A"/>
    <w:rsid w:val="009136E2"/>
    <w:rsid w:val="00914149"/>
    <w:rsid w:val="00914B53"/>
    <w:rsid w:val="00914F0E"/>
    <w:rsid w:val="009152AD"/>
    <w:rsid w:val="0091757B"/>
    <w:rsid w:val="009200E9"/>
    <w:rsid w:val="00922A2D"/>
    <w:rsid w:val="00922ABC"/>
    <w:rsid w:val="0092362A"/>
    <w:rsid w:val="00924084"/>
    <w:rsid w:val="00924C53"/>
    <w:rsid w:val="009255AB"/>
    <w:rsid w:val="0092573A"/>
    <w:rsid w:val="0092678D"/>
    <w:rsid w:val="00934356"/>
    <w:rsid w:val="00934665"/>
    <w:rsid w:val="00940DF2"/>
    <w:rsid w:val="00942BD7"/>
    <w:rsid w:val="009459A6"/>
    <w:rsid w:val="00945AAC"/>
    <w:rsid w:val="00947E11"/>
    <w:rsid w:val="0095004D"/>
    <w:rsid w:val="00950236"/>
    <w:rsid w:val="0095091C"/>
    <w:rsid w:val="009513D9"/>
    <w:rsid w:val="00951B15"/>
    <w:rsid w:val="00952316"/>
    <w:rsid w:val="009538D5"/>
    <w:rsid w:val="00953CDF"/>
    <w:rsid w:val="00953EA4"/>
    <w:rsid w:val="00953EFF"/>
    <w:rsid w:val="00954F9B"/>
    <w:rsid w:val="00956360"/>
    <w:rsid w:val="00956B6D"/>
    <w:rsid w:val="009570D8"/>
    <w:rsid w:val="0095767F"/>
    <w:rsid w:val="00960192"/>
    <w:rsid w:val="00960704"/>
    <w:rsid w:val="00960B95"/>
    <w:rsid w:val="00960CB6"/>
    <w:rsid w:val="00962D59"/>
    <w:rsid w:val="00963F55"/>
    <w:rsid w:val="0096423A"/>
    <w:rsid w:val="0096485F"/>
    <w:rsid w:val="00965310"/>
    <w:rsid w:val="00965AF3"/>
    <w:rsid w:val="009664BF"/>
    <w:rsid w:val="00967282"/>
    <w:rsid w:val="00967F93"/>
    <w:rsid w:val="00970302"/>
    <w:rsid w:val="0097154A"/>
    <w:rsid w:val="00971AB2"/>
    <w:rsid w:val="00971D40"/>
    <w:rsid w:val="0097376A"/>
    <w:rsid w:val="00974B27"/>
    <w:rsid w:val="00974EBA"/>
    <w:rsid w:val="0097592C"/>
    <w:rsid w:val="00975D2D"/>
    <w:rsid w:val="00975E2E"/>
    <w:rsid w:val="0097627D"/>
    <w:rsid w:val="0097743E"/>
    <w:rsid w:val="00977A9F"/>
    <w:rsid w:val="009808EE"/>
    <w:rsid w:val="00981B86"/>
    <w:rsid w:val="00981D4C"/>
    <w:rsid w:val="00981DB4"/>
    <w:rsid w:val="00982141"/>
    <w:rsid w:val="00982857"/>
    <w:rsid w:val="009839CF"/>
    <w:rsid w:val="00984116"/>
    <w:rsid w:val="0098553D"/>
    <w:rsid w:val="00986392"/>
    <w:rsid w:val="00986752"/>
    <w:rsid w:val="00986C09"/>
    <w:rsid w:val="009879B4"/>
    <w:rsid w:val="00987F3B"/>
    <w:rsid w:val="00990535"/>
    <w:rsid w:val="00990F97"/>
    <w:rsid w:val="00991A83"/>
    <w:rsid w:val="0099351B"/>
    <w:rsid w:val="00994B60"/>
    <w:rsid w:val="00994C4E"/>
    <w:rsid w:val="00996162"/>
    <w:rsid w:val="0099637C"/>
    <w:rsid w:val="00996977"/>
    <w:rsid w:val="009A0299"/>
    <w:rsid w:val="009A05E5"/>
    <w:rsid w:val="009A0ADC"/>
    <w:rsid w:val="009A1853"/>
    <w:rsid w:val="009A4B6D"/>
    <w:rsid w:val="009A6B39"/>
    <w:rsid w:val="009A7381"/>
    <w:rsid w:val="009A73DF"/>
    <w:rsid w:val="009A7BB8"/>
    <w:rsid w:val="009B0321"/>
    <w:rsid w:val="009B24A3"/>
    <w:rsid w:val="009B30BA"/>
    <w:rsid w:val="009B4DB0"/>
    <w:rsid w:val="009B59A6"/>
    <w:rsid w:val="009B6685"/>
    <w:rsid w:val="009C031F"/>
    <w:rsid w:val="009C089B"/>
    <w:rsid w:val="009C0B0B"/>
    <w:rsid w:val="009C0E98"/>
    <w:rsid w:val="009C14B4"/>
    <w:rsid w:val="009C1694"/>
    <w:rsid w:val="009C195B"/>
    <w:rsid w:val="009C1D60"/>
    <w:rsid w:val="009C267B"/>
    <w:rsid w:val="009C2EBE"/>
    <w:rsid w:val="009C3055"/>
    <w:rsid w:val="009C4106"/>
    <w:rsid w:val="009C41B7"/>
    <w:rsid w:val="009C4405"/>
    <w:rsid w:val="009C57E2"/>
    <w:rsid w:val="009C65E1"/>
    <w:rsid w:val="009C7116"/>
    <w:rsid w:val="009D0A80"/>
    <w:rsid w:val="009D2430"/>
    <w:rsid w:val="009D24D7"/>
    <w:rsid w:val="009D2618"/>
    <w:rsid w:val="009D2CDE"/>
    <w:rsid w:val="009D3AA5"/>
    <w:rsid w:val="009D413E"/>
    <w:rsid w:val="009D48F7"/>
    <w:rsid w:val="009D4F26"/>
    <w:rsid w:val="009D5C59"/>
    <w:rsid w:val="009D601D"/>
    <w:rsid w:val="009D71DF"/>
    <w:rsid w:val="009D786D"/>
    <w:rsid w:val="009D7F03"/>
    <w:rsid w:val="009E0F0F"/>
    <w:rsid w:val="009E272F"/>
    <w:rsid w:val="009E3069"/>
    <w:rsid w:val="009E36E0"/>
    <w:rsid w:val="009E56DE"/>
    <w:rsid w:val="009E6A21"/>
    <w:rsid w:val="009E6CFF"/>
    <w:rsid w:val="009E6F88"/>
    <w:rsid w:val="009E7015"/>
    <w:rsid w:val="009E7836"/>
    <w:rsid w:val="009F0313"/>
    <w:rsid w:val="009F054C"/>
    <w:rsid w:val="009F094B"/>
    <w:rsid w:val="009F1306"/>
    <w:rsid w:val="009F2CE2"/>
    <w:rsid w:val="009F4CAB"/>
    <w:rsid w:val="009F5BED"/>
    <w:rsid w:val="009F61DE"/>
    <w:rsid w:val="009F7E95"/>
    <w:rsid w:val="00A00BED"/>
    <w:rsid w:val="00A01165"/>
    <w:rsid w:val="00A01294"/>
    <w:rsid w:val="00A022DB"/>
    <w:rsid w:val="00A02396"/>
    <w:rsid w:val="00A02B57"/>
    <w:rsid w:val="00A04EA0"/>
    <w:rsid w:val="00A06434"/>
    <w:rsid w:val="00A10EF7"/>
    <w:rsid w:val="00A11097"/>
    <w:rsid w:val="00A110CB"/>
    <w:rsid w:val="00A11809"/>
    <w:rsid w:val="00A11DA9"/>
    <w:rsid w:val="00A11E4F"/>
    <w:rsid w:val="00A1259E"/>
    <w:rsid w:val="00A13940"/>
    <w:rsid w:val="00A13B01"/>
    <w:rsid w:val="00A1506E"/>
    <w:rsid w:val="00A16DA6"/>
    <w:rsid w:val="00A16DA9"/>
    <w:rsid w:val="00A20DDF"/>
    <w:rsid w:val="00A2229E"/>
    <w:rsid w:val="00A2487D"/>
    <w:rsid w:val="00A277FD"/>
    <w:rsid w:val="00A3167F"/>
    <w:rsid w:val="00A324A3"/>
    <w:rsid w:val="00A338A7"/>
    <w:rsid w:val="00A33E0C"/>
    <w:rsid w:val="00A34342"/>
    <w:rsid w:val="00A368AB"/>
    <w:rsid w:val="00A374A5"/>
    <w:rsid w:val="00A3775D"/>
    <w:rsid w:val="00A40989"/>
    <w:rsid w:val="00A40BBD"/>
    <w:rsid w:val="00A4111B"/>
    <w:rsid w:val="00A41D0C"/>
    <w:rsid w:val="00A4367F"/>
    <w:rsid w:val="00A43CA1"/>
    <w:rsid w:val="00A43F3E"/>
    <w:rsid w:val="00A44DB4"/>
    <w:rsid w:val="00A455AE"/>
    <w:rsid w:val="00A466F2"/>
    <w:rsid w:val="00A46EE1"/>
    <w:rsid w:val="00A47033"/>
    <w:rsid w:val="00A47A1D"/>
    <w:rsid w:val="00A50C98"/>
    <w:rsid w:val="00A51BFA"/>
    <w:rsid w:val="00A51F70"/>
    <w:rsid w:val="00A53BB7"/>
    <w:rsid w:val="00A53DE3"/>
    <w:rsid w:val="00A547C5"/>
    <w:rsid w:val="00A54BEA"/>
    <w:rsid w:val="00A55036"/>
    <w:rsid w:val="00A57E45"/>
    <w:rsid w:val="00A606F8"/>
    <w:rsid w:val="00A61BA6"/>
    <w:rsid w:val="00A62CA8"/>
    <w:rsid w:val="00A639C2"/>
    <w:rsid w:val="00A661FD"/>
    <w:rsid w:val="00A6665A"/>
    <w:rsid w:val="00A66E99"/>
    <w:rsid w:val="00A67034"/>
    <w:rsid w:val="00A70C62"/>
    <w:rsid w:val="00A719AC"/>
    <w:rsid w:val="00A7265D"/>
    <w:rsid w:val="00A72C30"/>
    <w:rsid w:val="00A73168"/>
    <w:rsid w:val="00A73FC5"/>
    <w:rsid w:val="00A75F57"/>
    <w:rsid w:val="00A76122"/>
    <w:rsid w:val="00A77301"/>
    <w:rsid w:val="00A80327"/>
    <w:rsid w:val="00A8037F"/>
    <w:rsid w:val="00A80672"/>
    <w:rsid w:val="00A8084A"/>
    <w:rsid w:val="00A80B10"/>
    <w:rsid w:val="00A81813"/>
    <w:rsid w:val="00A81C31"/>
    <w:rsid w:val="00A81D2D"/>
    <w:rsid w:val="00A81F99"/>
    <w:rsid w:val="00A82021"/>
    <w:rsid w:val="00A8314B"/>
    <w:rsid w:val="00A835D0"/>
    <w:rsid w:val="00A83C96"/>
    <w:rsid w:val="00A84333"/>
    <w:rsid w:val="00A85681"/>
    <w:rsid w:val="00A858EE"/>
    <w:rsid w:val="00A8732F"/>
    <w:rsid w:val="00A903C0"/>
    <w:rsid w:val="00A90470"/>
    <w:rsid w:val="00A94746"/>
    <w:rsid w:val="00A95273"/>
    <w:rsid w:val="00A955BF"/>
    <w:rsid w:val="00A95DFB"/>
    <w:rsid w:val="00A969DB"/>
    <w:rsid w:val="00AA087B"/>
    <w:rsid w:val="00AA5C41"/>
    <w:rsid w:val="00AA6E86"/>
    <w:rsid w:val="00AA758A"/>
    <w:rsid w:val="00AA7742"/>
    <w:rsid w:val="00AB3866"/>
    <w:rsid w:val="00AB38FE"/>
    <w:rsid w:val="00AB3C10"/>
    <w:rsid w:val="00AB3DA7"/>
    <w:rsid w:val="00AB3DBB"/>
    <w:rsid w:val="00AB5A89"/>
    <w:rsid w:val="00AB749A"/>
    <w:rsid w:val="00AC0B9C"/>
    <w:rsid w:val="00AC0FB2"/>
    <w:rsid w:val="00AC569C"/>
    <w:rsid w:val="00AC62F2"/>
    <w:rsid w:val="00AC69CC"/>
    <w:rsid w:val="00AC6CCE"/>
    <w:rsid w:val="00AC7419"/>
    <w:rsid w:val="00AC7491"/>
    <w:rsid w:val="00AD05AF"/>
    <w:rsid w:val="00AD090F"/>
    <w:rsid w:val="00AD1E5B"/>
    <w:rsid w:val="00AD31E4"/>
    <w:rsid w:val="00AD40E5"/>
    <w:rsid w:val="00AD50B8"/>
    <w:rsid w:val="00AD5307"/>
    <w:rsid w:val="00AD565F"/>
    <w:rsid w:val="00AD5C96"/>
    <w:rsid w:val="00AD6066"/>
    <w:rsid w:val="00AD61A2"/>
    <w:rsid w:val="00AD6328"/>
    <w:rsid w:val="00AD699F"/>
    <w:rsid w:val="00AD734B"/>
    <w:rsid w:val="00AD78C1"/>
    <w:rsid w:val="00AD7CDF"/>
    <w:rsid w:val="00AE0DD9"/>
    <w:rsid w:val="00AE1D97"/>
    <w:rsid w:val="00AE2267"/>
    <w:rsid w:val="00AE58AE"/>
    <w:rsid w:val="00AE6950"/>
    <w:rsid w:val="00AF142C"/>
    <w:rsid w:val="00AF147F"/>
    <w:rsid w:val="00AF276C"/>
    <w:rsid w:val="00AF2A5A"/>
    <w:rsid w:val="00AF3A9B"/>
    <w:rsid w:val="00AF4C31"/>
    <w:rsid w:val="00B01E59"/>
    <w:rsid w:val="00B02377"/>
    <w:rsid w:val="00B024E3"/>
    <w:rsid w:val="00B0285B"/>
    <w:rsid w:val="00B02873"/>
    <w:rsid w:val="00B0347A"/>
    <w:rsid w:val="00B0348F"/>
    <w:rsid w:val="00B04332"/>
    <w:rsid w:val="00B04713"/>
    <w:rsid w:val="00B050A6"/>
    <w:rsid w:val="00B0524C"/>
    <w:rsid w:val="00B06D6B"/>
    <w:rsid w:val="00B07917"/>
    <w:rsid w:val="00B07C57"/>
    <w:rsid w:val="00B11650"/>
    <w:rsid w:val="00B123D6"/>
    <w:rsid w:val="00B13A9A"/>
    <w:rsid w:val="00B13BAE"/>
    <w:rsid w:val="00B13D76"/>
    <w:rsid w:val="00B158B5"/>
    <w:rsid w:val="00B15F73"/>
    <w:rsid w:val="00B16610"/>
    <w:rsid w:val="00B16B09"/>
    <w:rsid w:val="00B17544"/>
    <w:rsid w:val="00B177C0"/>
    <w:rsid w:val="00B17DDC"/>
    <w:rsid w:val="00B204DF"/>
    <w:rsid w:val="00B2187D"/>
    <w:rsid w:val="00B23EB7"/>
    <w:rsid w:val="00B2497E"/>
    <w:rsid w:val="00B24B93"/>
    <w:rsid w:val="00B24F27"/>
    <w:rsid w:val="00B2553C"/>
    <w:rsid w:val="00B25593"/>
    <w:rsid w:val="00B26FD3"/>
    <w:rsid w:val="00B2778E"/>
    <w:rsid w:val="00B27A14"/>
    <w:rsid w:val="00B3190C"/>
    <w:rsid w:val="00B31C7C"/>
    <w:rsid w:val="00B32AEA"/>
    <w:rsid w:val="00B336A9"/>
    <w:rsid w:val="00B34603"/>
    <w:rsid w:val="00B34644"/>
    <w:rsid w:val="00B34F81"/>
    <w:rsid w:val="00B379CB"/>
    <w:rsid w:val="00B411BF"/>
    <w:rsid w:val="00B41E84"/>
    <w:rsid w:val="00B42CD0"/>
    <w:rsid w:val="00B42F09"/>
    <w:rsid w:val="00B43900"/>
    <w:rsid w:val="00B439D2"/>
    <w:rsid w:val="00B43EC2"/>
    <w:rsid w:val="00B43FF9"/>
    <w:rsid w:val="00B440D0"/>
    <w:rsid w:val="00B44579"/>
    <w:rsid w:val="00B44F70"/>
    <w:rsid w:val="00B453BE"/>
    <w:rsid w:val="00B5134C"/>
    <w:rsid w:val="00B514ED"/>
    <w:rsid w:val="00B517D6"/>
    <w:rsid w:val="00B51D62"/>
    <w:rsid w:val="00B53E73"/>
    <w:rsid w:val="00B54123"/>
    <w:rsid w:val="00B54369"/>
    <w:rsid w:val="00B5519E"/>
    <w:rsid w:val="00B559F6"/>
    <w:rsid w:val="00B55B99"/>
    <w:rsid w:val="00B57D9F"/>
    <w:rsid w:val="00B626E4"/>
    <w:rsid w:val="00B62B19"/>
    <w:rsid w:val="00B62BD2"/>
    <w:rsid w:val="00B65826"/>
    <w:rsid w:val="00B659C1"/>
    <w:rsid w:val="00B66EAE"/>
    <w:rsid w:val="00B673A3"/>
    <w:rsid w:val="00B713C3"/>
    <w:rsid w:val="00B71AAA"/>
    <w:rsid w:val="00B73322"/>
    <w:rsid w:val="00B742F4"/>
    <w:rsid w:val="00B74FF8"/>
    <w:rsid w:val="00B75D67"/>
    <w:rsid w:val="00B762EE"/>
    <w:rsid w:val="00B76E97"/>
    <w:rsid w:val="00B77DBA"/>
    <w:rsid w:val="00B80557"/>
    <w:rsid w:val="00B80C23"/>
    <w:rsid w:val="00B81D1E"/>
    <w:rsid w:val="00B82E70"/>
    <w:rsid w:val="00B83B4E"/>
    <w:rsid w:val="00B85BAE"/>
    <w:rsid w:val="00B87431"/>
    <w:rsid w:val="00B904A2"/>
    <w:rsid w:val="00B913DE"/>
    <w:rsid w:val="00B92A72"/>
    <w:rsid w:val="00B92C3E"/>
    <w:rsid w:val="00B934C4"/>
    <w:rsid w:val="00B94E3B"/>
    <w:rsid w:val="00B955A5"/>
    <w:rsid w:val="00B95880"/>
    <w:rsid w:val="00B963FA"/>
    <w:rsid w:val="00B96B59"/>
    <w:rsid w:val="00B97893"/>
    <w:rsid w:val="00BA03EC"/>
    <w:rsid w:val="00BA14BC"/>
    <w:rsid w:val="00BA1E1D"/>
    <w:rsid w:val="00BA4053"/>
    <w:rsid w:val="00BA4A56"/>
    <w:rsid w:val="00BA4FC2"/>
    <w:rsid w:val="00BA5062"/>
    <w:rsid w:val="00BA7535"/>
    <w:rsid w:val="00BA7D22"/>
    <w:rsid w:val="00BB05F9"/>
    <w:rsid w:val="00BB19AB"/>
    <w:rsid w:val="00BB33BC"/>
    <w:rsid w:val="00BB40FE"/>
    <w:rsid w:val="00BB484C"/>
    <w:rsid w:val="00BB5424"/>
    <w:rsid w:val="00BB7248"/>
    <w:rsid w:val="00BB7830"/>
    <w:rsid w:val="00BC1302"/>
    <w:rsid w:val="00BC14AF"/>
    <w:rsid w:val="00BC1AC9"/>
    <w:rsid w:val="00BC2241"/>
    <w:rsid w:val="00BC386A"/>
    <w:rsid w:val="00BC7644"/>
    <w:rsid w:val="00BC791F"/>
    <w:rsid w:val="00BD12ED"/>
    <w:rsid w:val="00BD18C8"/>
    <w:rsid w:val="00BD191E"/>
    <w:rsid w:val="00BD1A76"/>
    <w:rsid w:val="00BD24CC"/>
    <w:rsid w:val="00BD2BC9"/>
    <w:rsid w:val="00BD2FE6"/>
    <w:rsid w:val="00BD32A3"/>
    <w:rsid w:val="00BD4B9A"/>
    <w:rsid w:val="00BD6545"/>
    <w:rsid w:val="00BD67D6"/>
    <w:rsid w:val="00BD7112"/>
    <w:rsid w:val="00BD75A9"/>
    <w:rsid w:val="00BD7666"/>
    <w:rsid w:val="00BD79D8"/>
    <w:rsid w:val="00BD7D0F"/>
    <w:rsid w:val="00BE0121"/>
    <w:rsid w:val="00BE1936"/>
    <w:rsid w:val="00BE1E52"/>
    <w:rsid w:val="00BE2953"/>
    <w:rsid w:val="00BE2E2D"/>
    <w:rsid w:val="00BE3A3F"/>
    <w:rsid w:val="00BE4215"/>
    <w:rsid w:val="00BE57C8"/>
    <w:rsid w:val="00BE745E"/>
    <w:rsid w:val="00BE77D3"/>
    <w:rsid w:val="00BF01BF"/>
    <w:rsid w:val="00BF040B"/>
    <w:rsid w:val="00BF20A3"/>
    <w:rsid w:val="00BF2B9B"/>
    <w:rsid w:val="00BF462C"/>
    <w:rsid w:val="00BF58A4"/>
    <w:rsid w:val="00BF6057"/>
    <w:rsid w:val="00BF79EE"/>
    <w:rsid w:val="00C00039"/>
    <w:rsid w:val="00C01568"/>
    <w:rsid w:val="00C01670"/>
    <w:rsid w:val="00C01BEC"/>
    <w:rsid w:val="00C02A4D"/>
    <w:rsid w:val="00C032B5"/>
    <w:rsid w:val="00C03857"/>
    <w:rsid w:val="00C04574"/>
    <w:rsid w:val="00C05E49"/>
    <w:rsid w:val="00C05F66"/>
    <w:rsid w:val="00C074D9"/>
    <w:rsid w:val="00C10158"/>
    <w:rsid w:val="00C11031"/>
    <w:rsid w:val="00C1175D"/>
    <w:rsid w:val="00C1352E"/>
    <w:rsid w:val="00C15259"/>
    <w:rsid w:val="00C15D38"/>
    <w:rsid w:val="00C161E8"/>
    <w:rsid w:val="00C170E4"/>
    <w:rsid w:val="00C17BF2"/>
    <w:rsid w:val="00C204B6"/>
    <w:rsid w:val="00C20739"/>
    <w:rsid w:val="00C21659"/>
    <w:rsid w:val="00C2242E"/>
    <w:rsid w:val="00C228AE"/>
    <w:rsid w:val="00C23BA4"/>
    <w:rsid w:val="00C2402C"/>
    <w:rsid w:val="00C24BBC"/>
    <w:rsid w:val="00C26456"/>
    <w:rsid w:val="00C26628"/>
    <w:rsid w:val="00C27073"/>
    <w:rsid w:val="00C3113B"/>
    <w:rsid w:val="00C33B06"/>
    <w:rsid w:val="00C33FA8"/>
    <w:rsid w:val="00C3409E"/>
    <w:rsid w:val="00C345D5"/>
    <w:rsid w:val="00C34C87"/>
    <w:rsid w:val="00C36E5F"/>
    <w:rsid w:val="00C3709C"/>
    <w:rsid w:val="00C3748E"/>
    <w:rsid w:val="00C376B8"/>
    <w:rsid w:val="00C40388"/>
    <w:rsid w:val="00C40C91"/>
    <w:rsid w:val="00C40DDE"/>
    <w:rsid w:val="00C41BC2"/>
    <w:rsid w:val="00C43CE7"/>
    <w:rsid w:val="00C44202"/>
    <w:rsid w:val="00C44F56"/>
    <w:rsid w:val="00C459A5"/>
    <w:rsid w:val="00C467CC"/>
    <w:rsid w:val="00C46CB5"/>
    <w:rsid w:val="00C472C5"/>
    <w:rsid w:val="00C47544"/>
    <w:rsid w:val="00C47DB1"/>
    <w:rsid w:val="00C51F1A"/>
    <w:rsid w:val="00C53957"/>
    <w:rsid w:val="00C55C89"/>
    <w:rsid w:val="00C567BE"/>
    <w:rsid w:val="00C56EF7"/>
    <w:rsid w:val="00C5760F"/>
    <w:rsid w:val="00C57658"/>
    <w:rsid w:val="00C60F08"/>
    <w:rsid w:val="00C61279"/>
    <w:rsid w:val="00C616B5"/>
    <w:rsid w:val="00C61DC9"/>
    <w:rsid w:val="00C62B23"/>
    <w:rsid w:val="00C62C4D"/>
    <w:rsid w:val="00C6357D"/>
    <w:rsid w:val="00C6384C"/>
    <w:rsid w:val="00C63EFD"/>
    <w:rsid w:val="00C63F03"/>
    <w:rsid w:val="00C64C49"/>
    <w:rsid w:val="00C6521F"/>
    <w:rsid w:val="00C7020B"/>
    <w:rsid w:val="00C7171B"/>
    <w:rsid w:val="00C719C6"/>
    <w:rsid w:val="00C727C6"/>
    <w:rsid w:val="00C73889"/>
    <w:rsid w:val="00C7389D"/>
    <w:rsid w:val="00C7413C"/>
    <w:rsid w:val="00C743E7"/>
    <w:rsid w:val="00C749BC"/>
    <w:rsid w:val="00C74E8A"/>
    <w:rsid w:val="00C750E1"/>
    <w:rsid w:val="00C76337"/>
    <w:rsid w:val="00C76C60"/>
    <w:rsid w:val="00C80532"/>
    <w:rsid w:val="00C845F1"/>
    <w:rsid w:val="00C8568F"/>
    <w:rsid w:val="00C87059"/>
    <w:rsid w:val="00C87728"/>
    <w:rsid w:val="00C87B13"/>
    <w:rsid w:val="00C902A7"/>
    <w:rsid w:val="00C92BE5"/>
    <w:rsid w:val="00C937E2"/>
    <w:rsid w:val="00C93AAC"/>
    <w:rsid w:val="00C93B0C"/>
    <w:rsid w:val="00C94EE2"/>
    <w:rsid w:val="00C95C7F"/>
    <w:rsid w:val="00C95EED"/>
    <w:rsid w:val="00CA0D66"/>
    <w:rsid w:val="00CA34B0"/>
    <w:rsid w:val="00CA36AE"/>
    <w:rsid w:val="00CA530A"/>
    <w:rsid w:val="00CA5BB0"/>
    <w:rsid w:val="00CA760B"/>
    <w:rsid w:val="00CA7795"/>
    <w:rsid w:val="00CB009E"/>
    <w:rsid w:val="00CB3739"/>
    <w:rsid w:val="00CB3903"/>
    <w:rsid w:val="00CB46D3"/>
    <w:rsid w:val="00CB57E8"/>
    <w:rsid w:val="00CB5E22"/>
    <w:rsid w:val="00CC000D"/>
    <w:rsid w:val="00CC0744"/>
    <w:rsid w:val="00CC1B90"/>
    <w:rsid w:val="00CC1DA9"/>
    <w:rsid w:val="00CC2E93"/>
    <w:rsid w:val="00CC2EC6"/>
    <w:rsid w:val="00CC3773"/>
    <w:rsid w:val="00CC55A3"/>
    <w:rsid w:val="00CC5DD9"/>
    <w:rsid w:val="00CD1748"/>
    <w:rsid w:val="00CD1F7C"/>
    <w:rsid w:val="00CD5E8A"/>
    <w:rsid w:val="00CD6508"/>
    <w:rsid w:val="00CD67A3"/>
    <w:rsid w:val="00CD7625"/>
    <w:rsid w:val="00CD786F"/>
    <w:rsid w:val="00CE1504"/>
    <w:rsid w:val="00CE3278"/>
    <w:rsid w:val="00CE3CF0"/>
    <w:rsid w:val="00CE4195"/>
    <w:rsid w:val="00CE49C1"/>
    <w:rsid w:val="00CE5DE2"/>
    <w:rsid w:val="00CE62EA"/>
    <w:rsid w:val="00CE7B51"/>
    <w:rsid w:val="00CF1FDD"/>
    <w:rsid w:val="00CF21C9"/>
    <w:rsid w:val="00CF2289"/>
    <w:rsid w:val="00CF2C62"/>
    <w:rsid w:val="00CF3C0A"/>
    <w:rsid w:val="00CF47F1"/>
    <w:rsid w:val="00CF4856"/>
    <w:rsid w:val="00CF48D8"/>
    <w:rsid w:val="00CF4D79"/>
    <w:rsid w:val="00CF4EFC"/>
    <w:rsid w:val="00CF580A"/>
    <w:rsid w:val="00CF5F58"/>
    <w:rsid w:val="00CF6E4A"/>
    <w:rsid w:val="00D0098F"/>
    <w:rsid w:val="00D043D7"/>
    <w:rsid w:val="00D06579"/>
    <w:rsid w:val="00D06791"/>
    <w:rsid w:val="00D075C5"/>
    <w:rsid w:val="00D07CA5"/>
    <w:rsid w:val="00D114D0"/>
    <w:rsid w:val="00D12757"/>
    <w:rsid w:val="00D12B7B"/>
    <w:rsid w:val="00D132E3"/>
    <w:rsid w:val="00D13626"/>
    <w:rsid w:val="00D13985"/>
    <w:rsid w:val="00D14DBA"/>
    <w:rsid w:val="00D14E17"/>
    <w:rsid w:val="00D15FC8"/>
    <w:rsid w:val="00D1607F"/>
    <w:rsid w:val="00D20802"/>
    <w:rsid w:val="00D2099F"/>
    <w:rsid w:val="00D2152E"/>
    <w:rsid w:val="00D2359E"/>
    <w:rsid w:val="00D238DD"/>
    <w:rsid w:val="00D245DD"/>
    <w:rsid w:val="00D25840"/>
    <w:rsid w:val="00D26055"/>
    <w:rsid w:val="00D26795"/>
    <w:rsid w:val="00D27065"/>
    <w:rsid w:val="00D31E64"/>
    <w:rsid w:val="00D3214D"/>
    <w:rsid w:val="00D32CC0"/>
    <w:rsid w:val="00D336C2"/>
    <w:rsid w:val="00D413A2"/>
    <w:rsid w:val="00D42135"/>
    <w:rsid w:val="00D424CE"/>
    <w:rsid w:val="00D4269B"/>
    <w:rsid w:val="00D4276A"/>
    <w:rsid w:val="00D44271"/>
    <w:rsid w:val="00D457BE"/>
    <w:rsid w:val="00D46BDA"/>
    <w:rsid w:val="00D5097C"/>
    <w:rsid w:val="00D51BD5"/>
    <w:rsid w:val="00D51C36"/>
    <w:rsid w:val="00D52112"/>
    <w:rsid w:val="00D52BE4"/>
    <w:rsid w:val="00D541B7"/>
    <w:rsid w:val="00D54525"/>
    <w:rsid w:val="00D56432"/>
    <w:rsid w:val="00D56C8F"/>
    <w:rsid w:val="00D57AC7"/>
    <w:rsid w:val="00D61F66"/>
    <w:rsid w:val="00D6407E"/>
    <w:rsid w:val="00D6410F"/>
    <w:rsid w:val="00D659E7"/>
    <w:rsid w:val="00D65EEA"/>
    <w:rsid w:val="00D67BB6"/>
    <w:rsid w:val="00D67D74"/>
    <w:rsid w:val="00D7042A"/>
    <w:rsid w:val="00D7153A"/>
    <w:rsid w:val="00D717FC"/>
    <w:rsid w:val="00D75DCC"/>
    <w:rsid w:val="00D761C0"/>
    <w:rsid w:val="00D76D77"/>
    <w:rsid w:val="00D76FA5"/>
    <w:rsid w:val="00D840B1"/>
    <w:rsid w:val="00D84108"/>
    <w:rsid w:val="00D843D4"/>
    <w:rsid w:val="00D84B04"/>
    <w:rsid w:val="00D86890"/>
    <w:rsid w:val="00D869D8"/>
    <w:rsid w:val="00D86D3C"/>
    <w:rsid w:val="00D87165"/>
    <w:rsid w:val="00D871E4"/>
    <w:rsid w:val="00D901AB"/>
    <w:rsid w:val="00D902F5"/>
    <w:rsid w:val="00D90429"/>
    <w:rsid w:val="00D92280"/>
    <w:rsid w:val="00D92412"/>
    <w:rsid w:val="00D9435E"/>
    <w:rsid w:val="00D9451B"/>
    <w:rsid w:val="00D94542"/>
    <w:rsid w:val="00D94A6C"/>
    <w:rsid w:val="00D95ED2"/>
    <w:rsid w:val="00D97BE6"/>
    <w:rsid w:val="00DA155A"/>
    <w:rsid w:val="00DA4043"/>
    <w:rsid w:val="00DB0E9F"/>
    <w:rsid w:val="00DB17B5"/>
    <w:rsid w:val="00DB1B30"/>
    <w:rsid w:val="00DB3F99"/>
    <w:rsid w:val="00DB428E"/>
    <w:rsid w:val="00DB43BF"/>
    <w:rsid w:val="00DB513F"/>
    <w:rsid w:val="00DB5621"/>
    <w:rsid w:val="00DB6481"/>
    <w:rsid w:val="00DC3B5F"/>
    <w:rsid w:val="00DC55EC"/>
    <w:rsid w:val="00DC5EF8"/>
    <w:rsid w:val="00DC669E"/>
    <w:rsid w:val="00DC7612"/>
    <w:rsid w:val="00DD0AA6"/>
    <w:rsid w:val="00DD1518"/>
    <w:rsid w:val="00DD1D5F"/>
    <w:rsid w:val="00DD1F07"/>
    <w:rsid w:val="00DD3453"/>
    <w:rsid w:val="00DD3907"/>
    <w:rsid w:val="00DD4F01"/>
    <w:rsid w:val="00DD563B"/>
    <w:rsid w:val="00DD6E0B"/>
    <w:rsid w:val="00DD7898"/>
    <w:rsid w:val="00DD7AE8"/>
    <w:rsid w:val="00DD7D23"/>
    <w:rsid w:val="00DE128E"/>
    <w:rsid w:val="00DE233C"/>
    <w:rsid w:val="00DE6DE4"/>
    <w:rsid w:val="00DE71B2"/>
    <w:rsid w:val="00DE79D9"/>
    <w:rsid w:val="00DF1288"/>
    <w:rsid w:val="00DF1CDD"/>
    <w:rsid w:val="00DF1D25"/>
    <w:rsid w:val="00DF44DA"/>
    <w:rsid w:val="00DF49E4"/>
    <w:rsid w:val="00DF529C"/>
    <w:rsid w:val="00DF5669"/>
    <w:rsid w:val="00DF748E"/>
    <w:rsid w:val="00E00A42"/>
    <w:rsid w:val="00E029DC"/>
    <w:rsid w:val="00E03106"/>
    <w:rsid w:val="00E06A65"/>
    <w:rsid w:val="00E06E0B"/>
    <w:rsid w:val="00E1127A"/>
    <w:rsid w:val="00E11E02"/>
    <w:rsid w:val="00E12299"/>
    <w:rsid w:val="00E1239E"/>
    <w:rsid w:val="00E13969"/>
    <w:rsid w:val="00E13DBA"/>
    <w:rsid w:val="00E13E14"/>
    <w:rsid w:val="00E1494B"/>
    <w:rsid w:val="00E14EFA"/>
    <w:rsid w:val="00E16F2D"/>
    <w:rsid w:val="00E1749B"/>
    <w:rsid w:val="00E21606"/>
    <w:rsid w:val="00E25033"/>
    <w:rsid w:val="00E26E2F"/>
    <w:rsid w:val="00E3068C"/>
    <w:rsid w:val="00E30A4A"/>
    <w:rsid w:val="00E30B92"/>
    <w:rsid w:val="00E33A4D"/>
    <w:rsid w:val="00E33C6E"/>
    <w:rsid w:val="00E349D0"/>
    <w:rsid w:val="00E3545C"/>
    <w:rsid w:val="00E35DF3"/>
    <w:rsid w:val="00E362A6"/>
    <w:rsid w:val="00E36FDA"/>
    <w:rsid w:val="00E37D26"/>
    <w:rsid w:val="00E37FEB"/>
    <w:rsid w:val="00E406D2"/>
    <w:rsid w:val="00E40A03"/>
    <w:rsid w:val="00E411E0"/>
    <w:rsid w:val="00E41958"/>
    <w:rsid w:val="00E44AD0"/>
    <w:rsid w:val="00E45383"/>
    <w:rsid w:val="00E45598"/>
    <w:rsid w:val="00E45F3E"/>
    <w:rsid w:val="00E46142"/>
    <w:rsid w:val="00E47B3C"/>
    <w:rsid w:val="00E50C5F"/>
    <w:rsid w:val="00E50D1E"/>
    <w:rsid w:val="00E52145"/>
    <w:rsid w:val="00E53DC6"/>
    <w:rsid w:val="00E54169"/>
    <w:rsid w:val="00E543FE"/>
    <w:rsid w:val="00E54BF1"/>
    <w:rsid w:val="00E54CED"/>
    <w:rsid w:val="00E55961"/>
    <w:rsid w:val="00E55FC9"/>
    <w:rsid w:val="00E561EC"/>
    <w:rsid w:val="00E56F3C"/>
    <w:rsid w:val="00E60CB5"/>
    <w:rsid w:val="00E6103B"/>
    <w:rsid w:val="00E6195F"/>
    <w:rsid w:val="00E65872"/>
    <w:rsid w:val="00E700C5"/>
    <w:rsid w:val="00E72B5B"/>
    <w:rsid w:val="00E72C15"/>
    <w:rsid w:val="00E73041"/>
    <w:rsid w:val="00E734FD"/>
    <w:rsid w:val="00E735D8"/>
    <w:rsid w:val="00E738BE"/>
    <w:rsid w:val="00E7411C"/>
    <w:rsid w:val="00E7463C"/>
    <w:rsid w:val="00E74CC7"/>
    <w:rsid w:val="00E7544D"/>
    <w:rsid w:val="00E76916"/>
    <w:rsid w:val="00E76A9C"/>
    <w:rsid w:val="00E770B5"/>
    <w:rsid w:val="00E778B0"/>
    <w:rsid w:val="00E77DD3"/>
    <w:rsid w:val="00E81FD0"/>
    <w:rsid w:val="00E822B8"/>
    <w:rsid w:val="00E8267C"/>
    <w:rsid w:val="00E82A89"/>
    <w:rsid w:val="00E82F63"/>
    <w:rsid w:val="00E833D2"/>
    <w:rsid w:val="00E8342F"/>
    <w:rsid w:val="00E83707"/>
    <w:rsid w:val="00E8590B"/>
    <w:rsid w:val="00E85AFC"/>
    <w:rsid w:val="00E870F0"/>
    <w:rsid w:val="00E87151"/>
    <w:rsid w:val="00E87C72"/>
    <w:rsid w:val="00E87CB8"/>
    <w:rsid w:val="00E87D06"/>
    <w:rsid w:val="00E911DE"/>
    <w:rsid w:val="00E919DD"/>
    <w:rsid w:val="00E9493A"/>
    <w:rsid w:val="00E949CE"/>
    <w:rsid w:val="00E95E4B"/>
    <w:rsid w:val="00E96132"/>
    <w:rsid w:val="00E971E1"/>
    <w:rsid w:val="00EA19F6"/>
    <w:rsid w:val="00EA51C7"/>
    <w:rsid w:val="00EA5835"/>
    <w:rsid w:val="00EA5976"/>
    <w:rsid w:val="00EA6F45"/>
    <w:rsid w:val="00EA74E4"/>
    <w:rsid w:val="00EA78B0"/>
    <w:rsid w:val="00EA796D"/>
    <w:rsid w:val="00EB0664"/>
    <w:rsid w:val="00EB126A"/>
    <w:rsid w:val="00EB12AA"/>
    <w:rsid w:val="00EB14B9"/>
    <w:rsid w:val="00EB2298"/>
    <w:rsid w:val="00EB2909"/>
    <w:rsid w:val="00EB385B"/>
    <w:rsid w:val="00EB425D"/>
    <w:rsid w:val="00EC038C"/>
    <w:rsid w:val="00EC0F64"/>
    <w:rsid w:val="00EC18D7"/>
    <w:rsid w:val="00EC41FA"/>
    <w:rsid w:val="00EC5D58"/>
    <w:rsid w:val="00EC604A"/>
    <w:rsid w:val="00EC60AA"/>
    <w:rsid w:val="00EC74B8"/>
    <w:rsid w:val="00EC7E23"/>
    <w:rsid w:val="00ED0521"/>
    <w:rsid w:val="00ED274C"/>
    <w:rsid w:val="00ED532C"/>
    <w:rsid w:val="00ED6053"/>
    <w:rsid w:val="00EE1995"/>
    <w:rsid w:val="00EE364A"/>
    <w:rsid w:val="00EE4B91"/>
    <w:rsid w:val="00EE56F4"/>
    <w:rsid w:val="00EE6924"/>
    <w:rsid w:val="00EE6EC8"/>
    <w:rsid w:val="00EE7560"/>
    <w:rsid w:val="00EE76DF"/>
    <w:rsid w:val="00EF65A0"/>
    <w:rsid w:val="00EF74A2"/>
    <w:rsid w:val="00EF7758"/>
    <w:rsid w:val="00F0004A"/>
    <w:rsid w:val="00F0085C"/>
    <w:rsid w:val="00F01BCC"/>
    <w:rsid w:val="00F01E39"/>
    <w:rsid w:val="00F01F8A"/>
    <w:rsid w:val="00F041E8"/>
    <w:rsid w:val="00F044A0"/>
    <w:rsid w:val="00F0452B"/>
    <w:rsid w:val="00F0671F"/>
    <w:rsid w:val="00F070DD"/>
    <w:rsid w:val="00F077B6"/>
    <w:rsid w:val="00F10320"/>
    <w:rsid w:val="00F13033"/>
    <w:rsid w:val="00F14F76"/>
    <w:rsid w:val="00F15D88"/>
    <w:rsid w:val="00F16CFB"/>
    <w:rsid w:val="00F16EEC"/>
    <w:rsid w:val="00F17231"/>
    <w:rsid w:val="00F205F8"/>
    <w:rsid w:val="00F20C03"/>
    <w:rsid w:val="00F21494"/>
    <w:rsid w:val="00F21991"/>
    <w:rsid w:val="00F21FC4"/>
    <w:rsid w:val="00F228DE"/>
    <w:rsid w:val="00F23FC6"/>
    <w:rsid w:val="00F24808"/>
    <w:rsid w:val="00F26E64"/>
    <w:rsid w:val="00F27375"/>
    <w:rsid w:val="00F27A90"/>
    <w:rsid w:val="00F27CFF"/>
    <w:rsid w:val="00F30D6D"/>
    <w:rsid w:val="00F30E49"/>
    <w:rsid w:val="00F325B6"/>
    <w:rsid w:val="00F32B3F"/>
    <w:rsid w:val="00F33012"/>
    <w:rsid w:val="00F34969"/>
    <w:rsid w:val="00F34B78"/>
    <w:rsid w:val="00F36089"/>
    <w:rsid w:val="00F3720B"/>
    <w:rsid w:val="00F41122"/>
    <w:rsid w:val="00F416A1"/>
    <w:rsid w:val="00F43F2B"/>
    <w:rsid w:val="00F44211"/>
    <w:rsid w:val="00F443A5"/>
    <w:rsid w:val="00F45D64"/>
    <w:rsid w:val="00F468DC"/>
    <w:rsid w:val="00F47112"/>
    <w:rsid w:val="00F47B41"/>
    <w:rsid w:val="00F47EA7"/>
    <w:rsid w:val="00F503D8"/>
    <w:rsid w:val="00F50DC0"/>
    <w:rsid w:val="00F513D6"/>
    <w:rsid w:val="00F51FE6"/>
    <w:rsid w:val="00F541B8"/>
    <w:rsid w:val="00F55528"/>
    <w:rsid w:val="00F55639"/>
    <w:rsid w:val="00F5589D"/>
    <w:rsid w:val="00F568DD"/>
    <w:rsid w:val="00F57C5A"/>
    <w:rsid w:val="00F6000A"/>
    <w:rsid w:val="00F60492"/>
    <w:rsid w:val="00F61A47"/>
    <w:rsid w:val="00F61FA6"/>
    <w:rsid w:val="00F62529"/>
    <w:rsid w:val="00F631EB"/>
    <w:rsid w:val="00F64FC6"/>
    <w:rsid w:val="00F64FD9"/>
    <w:rsid w:val="00F652B0"/>
    <w:rsid w:val="00F65BE1"/>
    <w:rsid w:val="00F66FEB"/>
    <w:rsid w:val="00F7002F"/>
    <w:rsid w:val="00F715B9"/>
    <w:rsid w:val="00F717AF"/>
    <w:rsid w:val="00F733CD"/>
    <w:rsid w:val="00F7420C"/>
    <w:rsid w:val="00F75193"/>
    <w:rsid w:val="00F75815"/>
    <w:rsid w:val="00F806E3"/>
    <w:rsid w:val="00F80725"/>
    <w:rsid w:val="00F82D97"/>
    <w:rsid w:val="00F84C7D"/>
    <w:rsid w:val="00F85588"/>
    <w:rsid w:val="00F86325"/>
    <w:rsid w:val="00F867F4"/>
    <w:rsid w:val="00F87044"/>
    <w:rsid w:val="00F9047D"/>
    <w:rsid w:val="00F90B5A"/>
    <w:rsid w:val="00F90D80"/>
    <w:rsid w:val="00F91609"/>
    <w:rsid w:val="00F921BC"/>
    <w:rsid w:val="00F929BD"/>
    <w:rsid w:val="00F943A9"/>
    <w:rsid w:val="00F9558F"/>
    <w:rsid w:val="00F96112"/>
    <w:rsid w:val="00F97252"/>
    <w:rsid w:val="00FA148F"/>
    <w:rsid w:val="00FA1AC2"/>
    <w:rsid w:val="00FA227E"/>
    <w:rsid w:val="00FA2E86"/>
    <w:rsid w:val="00FA306A"/>
    <w:rsid w:val="00FA3104"/>
    <w:rsid w:val="00FA3566"/>
    <w:rsid w:val="00FA4539"/>
    <w:rsid w:val="00FA47E6"/>
    <w:rsid w:val="00FA77BA"/>
    <w:rsid w:val="00FB13FB"/>
    <w:rsid w:val="00FB19D2"/>
    <w:rsid w:val="00FB1C17"/>
    <w:rsid w:val="00FB270F"/>
    <w:rsid w:val="00FB2C0C"/>
    <w:rsid w:val="00FB3439"/>
    <w:rsid w:val="00FB4D26"/>
    <w:rsid w:val="00FB6040"/>
    <w:rsid w:val="00FB7A28"/>
    <w:rsid w:val="00FB7EBA"/>
    <w:rsid w:val="00FC1DF2"/>
    <w:rsid w:val="00FC2634"/>
    <w:rsid w:val="00FC27F6"/>
    <w:rsid w:val="00FC2A05"/>
    <w:rsid w:val="00FC2A3B"/>
    <w:rsid w:val="00FC38F3"/>
    <w:rsid w:val="00FC43CB"/>
    <w:rsid w:val="00FC560B"/>
    <w:rsid w:val="00FC5710"/>
    <w:rsid w:val="00FC58DF"/>
    <w:rsid w:val="00FC59A6"/>
    <w:rsid w:val="00FC5DC2"/>
    <w:rsid w:val="00FC5E32"/>
    <w:rsid w:val="00FC60A2"/>
    <w:rsid w:val="00FC6AD7"/>
    <w:rsid w:val="00FD0570"/>
    <w:rsid w:val="00FD0631"/>
    <w:rsid w:val="00FD0C3B"/>
    <w:rsid w:val="00FD1715"/>
    <w:rsid w:val="00FD1F85"/>
    <w:rsid w:val="00FD37D0"/>
    <w:rsid w:val="00FD3F86"/>
    <w:rsid w:val="00FD4567"/>
    <w:rsid w:val="00FD4AAA"/>
    <w:rsid w:val="00FD5733"/>
    <w:rsid w:val="00FD5D35"/>
    <w:rsid w:val="00FD7095"/>
    <w:rsid w:val="00FE1199"/>
    <w:rsid w:val="00FE13C7"/>
    <w:rsid w:val="00FE1899"/>
    <w:rsid w:val="00FE1DAF"/>
    <w:rsid w:val="00FE217B"/>
    <w:rsid w:val="00FE2776"/>
    <w:rsid w:val="00FE2E5D"/>
    <w:rsid w:val="00FE3D46"/>
    <w:rsid w:val="00FE4275"/>
    <w:rsid w:val="00FE555F"/>
    <w:rsid w:val="00FE560D"/>
    <w:rsid w:val="00FE7FBB"/>
    <w:rsid w:val="00FF0092"/>
    <w:rsid w:val="00FF027B"/>
    <w:rsid w:val="00FF076A"/>
    <w:rsid w:val="00FF13A7"/>
    <w:rsid w:val="00FF1F07"/>
    <w:rsid w:val="00FF2748"/>
    <w:rsid w:val="00FF35C0"/>
    <w:rsid w:val="00FF3E2E"/>
    <w:rsid w:val="00FF6EF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8306E"/>
  <w15:docId w15:val="{4956E28D-3C1E-B74B-8067-A593B943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150DF"/>
    <w:pPr>
      <w:spacing w:after="0" w:line="240" w:lineRule="auto"/>
    </w:pPr>
    <w:rPr>
      <w:rFonts w:ascii="Times New Roman" w:hAnsi="Times New Roman"/>
      <w:sz w:val="24"/>
      <w:szCs w:val="24"/>
      <w:lang w:eastAsia="zh-CN"/>
    </w:rPr>
  </w:style>
  <w:style w:type="paragraph" w:styleId="1">
    <w:name w:val="heading 1"/>
    <w:basedOn w:val="a"/>
    <w:next w:val="a"/>
    <w:link w:val="10"/>
    <w:uiPriority w:val="9"/>
    <w:qFormat/>
    <w:rsid w:val="006078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3A2949"/>
    <w:rPr>
      <w:color w:val="0000FF"/>
      <w:u w:val="single"/>
    </w:rPr>
  </w:style>
  <w:style w:type="paragraph" w:styleId="a4">
    <w:name w:val="Balloon Text"/>
    <w:basedOn w:val="a"/>
    <w:link w:val="a5"/>
    <w:uiPriority w:val="99"/>
    <w:semiHidden/>
    <w:unhideWhenUsed/>
    <w:rsid w:val="003A2949"/>
    <w:rPr>
      <w:rFonts w:ascii="Segoe UI" w:hAnsi="Segoe UI" w:cs="Segoe UI"/>
      <w:sz w:val="18"/>
      <w:szCs w:val="18"/>
      <w:lang w:eastAsia="en-US"/>
    </w:rPr>
  </w:style>
  <w:style w:type="character" w:customStyle="1" w:styleId="a5">
    <w:name w:val="批注框文本字符"/>
    <w:basedOn w:val="a0"/>
    <w:link w:val="a4"/>
    <w:uiPriority w:val="99"/>
    <w:semiHidden/>
    <w:rsid w:val="003A2949"/>
    <w:rPr>
      <w:rFonts w:ascii="Segoe UI" w:hAnsi="Segoe UI" w:cs="Segoe UI"/>
      <w:sz w:val="18"/>
      <w:szCs w:val="18"/>
    </w:rPr>
  </w:style>
  <w:style w:type="paragraph" w:styleId="a6">
    <w:name w:val="List Paragraph"/>
    <w:basedOn w:val="a"/>
    <w:uiPriority w:val="34"/>
    <w:qFormat/>
    <w:rsid w:val="0092678D"/>
    <w:pPr>
      <w:spacing w:after="160" w:line="259" w:lineRule="auto"/>
      <w:ind w:left="720"/>
      <w:contextualSpacing/>
    </w:pPr>
    <w:rPr>
      <w:rFonts w:asciiTheme="minorHAnsi" w:hAnsiTheme="minorHAnsi"/>
      <w:sz w:val="22"/>
      <w:szCs w:val="22"/>
      <w:lang w:eastAsia="en-US"/>
    </w:rPr>
  </w:style>
  <w:style w:type="character" w:customStyle="1" w:styleId="UnresolvedMention1">
    <w:name w:val="Unresolved Mention1"/>
    <w:basedOn w:val="a0"/>
    <w:uiPriority w:val="99"/>
    <w:semiHidden/>
    <w:unhideWhenUsed/>
    <w:rsid w:val="00E7411C"/>
    <w:rPr>
      <w:color w:val="605E5C"/>
      <w:shd w:val="clear" w:color="auto" w:fill="E1DFDD"/>
    </w:rPr>
  </w:style>
  <w:style w:type="character" w:styleId="a7">
    <w:name w:val="annotation reference"/>
    <w:basedOn w:val="a0"/>
    <w:unhideWhenUsed/>
    <w:qFormat/>
    <w:rsid w:val="00D75DCC"/>
    <w:rPr>
      <w:sz w:val="16"/>
      <w:szCs w:val="16"/>
    </w:rPr>
  </w:style>
  <w:style w:type="paragraph" w:styleId="a8">
    <w:name w:val="annotation text"/>
    <w:basedOn w:val="a"/>
    <w:link w:val="a9"/>
    <w:unhideWhenUsed/>
    <w:qFormat/>
    <w:rsid w:val="00D75DCC"/>
    <w:pPr>
      <w:spacing w:after="160"/>
    </w:pPr>
    <w:rPr>
      <w:rFonts w:asciiTheme="minorHAnsi" w:hAnsiTheme="minorHAnsi"/>
      <w:sz w:val="20"/>
      <w:szCs w:val="20"/>
      <w:lang w:eastAsia="en-US"/>
    </w:rPr>
  </w:style>
  <w:style w:type="character" w:customStyle="1" w:styleId="a9">
    <w:name w:val="批注文字字符"/>
    <w:basedOn w:val="a0"/>
    <w:link w:val="a8"/>
    <w:qFormat/>
    <w:rsid w:val="00D75DCC"/>
    <w:rPr>
      <w:sz w:val="20"/>
      <w:szCs w:val="20"/>
    </w:rPr>
  </w:style>
  <w:style w:type="paragraph" w:styleId="aa">
    <w:name w:val="annotation subject"/>
    <w:basedOn w:val="a8"/>
    <w:next w:val="a8"/>
    <w:link w:val="ab"/>
    <w:uiPriority w:val="99"/>
    <w:semiHidden/>
    <w:unhideWhenUsed/>
    <w:rsid w:val="00D75DCC"/>
    <w:rPr>
      <w:b/>
      <w:bCs/>
    </w:rPr>
  </w:style>
  <w:style w:type="character" w:customStyle="1" w:styleId="ab">
    <w:name w:val="批注主题字符"/>
    <w:basedOn w:val="a9"/>
    <w:link w:val="aa"/>
    <w:uiPriority w:val="99"/>
    <w:semiHidden/>
    <w:rsid w:val="00D75DCC"/>
    <w:rPr>
      <w:b/>
      <w:bCs/>
      <w:sz w:val="20"/>
      <w:szCs w:val="20"/>
    </w:rPr>
  </w:style>
  <w:style w:type="character" w:styleId="ac">
    <w:name w:val="FollowedHyperlink"/>
    <w:basedOn w:val="a0"/>
    <w:uiPriority w:val="99"/>
    <w:semiHidden/>
    <w:unhideWhenUsed/>
    <w:rsid w:val="0041208B"/>
    <w:rPr>
      <w:color w:val="954F72" w:themeColor="followedHyperlink"/>
      <w:u w:val="single"/>
    </w:rPr>
  </w:style>
  <w:style w:type="character" w:customStyle="1" w:styleId="UnresolvedMention2">
    <w:name w:val="Unresolved Mention2"/>
    <w:basedOn w:val="a0"/>
    <w:uiPriority w:val="99"/>
    <w:semiHidden/>
    <w:unhideWhenUsed/>
    <w:rsid w:val="001D427F"/>
    <w:rPr>
      <w:color w:val="605E5C"/>
      <w:shd w:val="clear" w:color="auto" w:fill="E1DFDD"/>
    </w:rPr>
  </w:style>
  <w:style w:type="paragraph" w:styleId="ad">
    <w:name w:val="Revision"/>
    <w:hidden/>
    <w:uiPriority w:val="99"/>
    <w:semiHidden/>
    <w:rsid w:val="005C0A6C"/>
    <w:pPr>
      <w:spacing w:after="0" w:line="240" w:lineRule="auto"/>
    </w:pPr>
  </w:style>
  <w:style w:type="paragraph" w:styleId="ae">
    <w:name w:val="header"/>
    <w:basedOn w:val="a"/>
    <w:link w:val="af"/>
    <w:uiPriority w:val="99"/>
    <w:unhideWhenUsed/>
    <w:rsid w:val="00FB3439"/>
    <w:pPr>
      <w:tabs>
        <w:tab w:val="center" w:pos="4680"/>
        <w:tab w:val="right" w:pos="9360"/>
      </w:tabs>
    </w:pPr>
    <w:rPr>
      <w:rFonts w:asciiTheme="minorHAnsi" w:hAnsiTheme="minorHAnsi"/>
      <w:sz w:val="22"/>
      <w:szCs w:val="22"/>
      <w:lang w:eastAsia="en-US"/>
    </w:rPr>
  </w:style>
  <w:style w:type="character" w:customStyle="1" w:styleId="af">
    <w:name w:val="页眉字符"/>
    <w:basedOn w:val="a0"/>
    <w:link w:val="ae"/>
    <w:uiPriority w:val="99"/>
    <w:rsid w:val="00FB3439"/>
  </w:style>
  <w:style w:type="paragraph" w:styleId="af0">
    <w:name w:val="footer"/>
    <w:basedOn w:val="a"/>
    <w:link w:val="af1"/>
    <w:uiPriority w:val="99"/>
    <w:unhideWhenUsed/>
    <w:rsid w:val="00FB3439"/>
    <w:pPr>
      <w:tabs>
        <w:tab w:val="center" w:pos="4680"/>
        <w:tab w:val="right" w:pos="9360"/>
      </w:tabs>
    </w:pPr>
    <w:rPr>
      <w:rFonts w:asciiTheme="minorHAnsi" w:hAnsiTheme="minorHAnsi"/>
      <w:sz w:val="22"/>
      <w:szCs w:val="22"/>
      <w:lang w:eastAsia="en-US"/>
    </w:rPr>
  </w:style>
  <w:style w:type="character" w:customStyle="1" w:styleId="af1">
    <w:name w:val="页脚字符"/>
    <w:basedOn w:val="a0"/>
    <w:link w:val="af0"/>
    <w:uiPriority w:val="99"/>
    <w:rsid w:val="00FB3439"/>
  </w:style>
  <w:style w:type="paragraph" w:customStyle="1" w:styleId="11">
    <w:name w:val="列出段落1"/>
    <w:basedOn w:val="a"/>
    <w:rsid w:val="00DA4043"/>
    <w:pPr>
      <w:widowControl w:val="0"/>
      <w:wordWrap w:val="0"/>
      <w:autoSpaceDE w:val="0"/>
      <w:autoSpaceDN w:val="0"/>
      <w:spacing w:after="160" w:line="259" w:lineRule="auto"/>
      <w:ind w:leftChars="400" w:left="800"/>
    </w:pPr>
    <w:rPr>
      <w:rFonts w:eastAsia="FangSong_GB2312" w:cs="Times New Roman"/>
      <w:sz w:val="32"/>
      <w:szCs w:val="22"/>
      <w:lang w:eastAsia="ko-KR"/>
    </w:rPr>
  </w:style>
  <w:style w:type="character" w:customStyle="1" w:styleId="apple-converted-space">
    <w:name w:val="apple-converted-space"/>
    <w:basedOn w:val="a0"/>
    <w:rsid w:val="008C5152"/>
  </w:style>
  <w:style w:type="character" w:styleId="af2">
    <w:name w:val="Emphasis"/>
    <w:basedOn w:val="a0"/>
    <w:uiPriority w:val="20"/>
    <w:qFormat/>
    <w:rsid w:val="008C5152"/>
    <w:rPr>
      <w:i/>
      <w:iCs/>
    </w:rPr>
  </w:style>
  <w:style w:type="character" w:customStyle="1" w:styleId="UnresolvedMention3">
    <w:name w:val="Unresolved Mention3"/>
    <w:basedOn w:val="a0"/>
    <w:uiPriority w:val="99"/>
    <w:semiHidden/>
    <w:unhideWhenUsed/>
    <w:rsid w:val="00084ECE"/>
    <w:rPr>
      <w:color w:val="605E5C"/>
      <w:shd w:val="clear" w:color="auto" w:fill="E1DFDD"/>
    </w:rPr>
  </w:style>
  <w:style w:type="paragraph" w:styleId="af3">
    <w:name w:val="footnote text"/>
    <w:basedOn w:val="a"/>
    <w:link w:val="af4"/>
    <w:uiPriority w:val="99"/>
    <w:unhideWhenUsed/>
    <w:qFormat/>
    <w:rsid w:val="002D3835"/>
    <w:rPr>
      <w:rFonts w:asciiTheme="minorHAnsi" w:hAnsiTheme="minorHAnsi"/>
      <w:sz w:val="20"/>
      <w:szCs w:val="20"/>
      <w:lang w:eastAsia="en-US"/>
    </w:rPr>
  </w:style>
  <w:style w:type="character" w:customStyle="1" w:styleId="af4">
    <w:name w:val="脚注文本字符"/>
    <w:basedOn w:val="a0"/>
    <w:link w:val="af3"/>
    <w:uiPriority w:val="99"/>
    <w:qFormat/>
    <w:rsid w:val="002D3835"/>
    <w:rPr>
      <w:sz w:val="20"/>
      <w:szCs w:val="20"/>
    </w:rPr>
  </w:style>
  <w:style w:type="character" w:styleId="af5">
    <w:name w:val="footnote reference"/>
    <w:basedOn w:val="a0"/>
    <w:unhideWhenUsed/>
    <w:qFormat/>
    <w:rsid w:val="002D3835"/>
    <w:rPr>
      <w:vertAlign w:val="superscript"/>
    </w:rPr>
  </w:style>
  <w:style w:type="character" w:customStyle="1" w:styleId="UnresolvedMention4">
    <w:name w:val="Unresolved Mention4"/>
    <w:basedOn w:val="a0"/>
    <w:uiPriority w:val="99"/>
    <w:semiHidden/>
    <w:unhideWhenUsed/>
    <w:rsid w:val="001D4D24"/>
    <w:rPr>
      <w:color w:val="605E5C"/>
      <w:shd w:val="clear" w:color="auto" w:fill="E1DFDD"/>
    </w:rPr>
  </w:style>
  <w:style w:type="character" w:customStyle="1" w:styleId="10">
    <w:name w:val="标题 1字符"/>
    <w:basedOn w:val="a0"/>
    <w:link w:val="1"/>
    <w:uiPriority w:val="9"/>
    <w:rsid w:val="006078D6"/>
    <w:rPr>
      <w:rFonts w:asciiTheme="majorHAnsi" w:eastAsiaTheme="majorEastAsia" w:hAnsiTheme="majorHAnsi" w:cstheme="majorBidi"/>
      <w:color w:val="2F5496" w:themeColor="accent1" w:themeShade="BF"/>
      <w:sz w:val="32"/>
      <w:szCs w:val="32"/>
      <w:lang w:eastAsia="zh-CN"/>
    </w:rPr>
  </w:style>
  <w:style w:type="character" w:styleId="af6">
    <w:name w:val="Strong"/>
    <w:basedOn w:val="a0"/>
    <w:uiPriority w:val="22"/>
    <w:qFormat/>
    <w:rsid w:val="00C26628"/>
    <w:rPr>
      <w:b/>
      <w:bCs/>
    </w:rPr>
  </w:style>
  <w:style w:type="character" w:customStyle="1" w:styleId="UnresolvedMention5">
    <w:name w:val="Unresolved Mention5"/>
    <w:basedOn w:val="a0"/>
    <w:uiPriority w:val="99"/>
    <w:semiHidden/>
    <w:unhideWhenUsed/>
    <w:rsid w:val="00184BB6"/>
    <w:rPr>
      <w:color w:val="605E5C"/>
      <w:shd w:val="clear" w:color="auto" w:fill="E1DFDD"/>
    </w:rPr>
  </w:style>
  <w:style w:type="character" w:customStyle="1" w:styleId="UnresolvedMention6">
    <w:name w:val="Unresolved Mention6"/>
    <w:basedOn w:val="a0"/>
    <w:uiPriority w:val="99"/>
    <w:rsid w:val="00C57658"/>
    <w:rPr>
      <w:color w:val="605E5C"/>
      <w:shd w:val="clear" w:color="auto" w:fill="E1DFDD"/>
    </w:rPr>
  </w:style>
  <w:style w:type="paragraph" w:styleId="af7">
    <w:name w:val="Normal (Web)"/>
    <w:basedOn w:val="a"/>
    <w:uiPriority w:val="99"/>
    <w:unhideWhenUsed/>
    <w:rsid w:val="00BE1936"/>
    <w:pPr>
      <w:spacing w:before="100" w:beforeAutospacing="1" w:after="100" w:afterAutospacing="1"/>
    </w:pPr>
    <w:rPr>
      <w:rFonts w:eastAsia="Times New Roman" w:cs="Times New Roman"/>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19">
      <w:bodyDiv w:val="1"/>
      <w:marLeft w:val="0"/>
      <w:marRight w:val="0"/>
      <w:marTop w:val="0"/>
      <w:marBottom w:val="0"/>
      <w:divBdr>
        <w:top w:val="none" w:sz="0" w:space="0" w:color="auto"/>
        <w:left w:val="none" w:sz="0" w:space="0" w:color="auto"/>
        <w:bottom w:val="none" w:sz="0" w:space="0" w:color="auto"/>
        <w:right w:val="none" w:sz="0" w:space="0" w:color="auto"/>
      </w:divBdr>
    </w:div>
    <w:div w:id="67651409">
      <w:bodyDiv w:val="1"/>
      <w:marLeft w:val="0"/>
      <w:marRight w:val="0"/>
      <w:marTop w:val="0"/>
      <w:marBottom w:val="0"/>
      <w:divBdr>
        <w:top w:val="none" w:sz="0" w:space="0" w:color="auto"/>
        <w:left w:val="none" w:sz="0" w:space="0" w:color="auto"/>
        <w:bottom w:val="none" w:sz="0" w:space="0" w:color="auto"/>
        <w:right w:val="none" w:sz="0" w:space="0" w:color="auto"/>
      </w:divBdr>
    </w:div>
    <w:div w:id="72163729">
      <w:bodyDiv w:val="1"/>
      <w:marLeft w:val="0"/>
      <w:marRight w:val="0"/>
      <w:marTop w:val="0"/>
      <w:marBottom w:val="0"/>
      <w:divBdr>
        <w:top w:val="none" w:sz="0" w:space="0" w:color="auto"/>
        <w:left w:val="none" w:sz="0" w:space="0" w:color="auto"/>
        <w:bottom w:val="none" w:sz="0" w:space="0" w:color="auto"/>
        <w:right w:val="none" w:sz="0" w:space="0" w:color="auto"/>
      </w:divBdr>
    </w:div>
    <w:div w:id="73868083">
      <w:bodyDiv w:val="1"/>
      <w:marLeft w:val="0"/>
      <w:marRight w:val="0"/>
      <w:marTop w:val="0"/>
      <w:marBottom w:val="0"/>
      <w:divBdr>
        <w:top w:val="none" w:sz="0" w:space="0" w:color="auto"/>
        <w:left w:val="none" w:sz="0" w:space="0" w:color="auto"/>
        <w:bottom w:val="none" w:sz="0" w:space="0" w:color="auto"/>
        <w:right w:val="none" w:sz="0" w:space="0" w:color="auto"/>
      </w:divBdr>
    </w:div>
    <w:div w:id="105973880">
      <w:bodyDiv w:val="1"/>
      <w:marLeft w:val="0"/>
      <w:marRight w:val="0"/>
      <w:marTop w:val="0"/>
      <w:marBottom w:val="0"/>
      <w:divBdr>
        <w:top w:val="none" w:sz="0" w:space="0" w:color="auto"/>
        <w:left w:val="none" w:sz="0" w:space="0" w:color="auto"/>
        <w:bottom w:val="none" w:sz="0" w:space="0" w:color="auto"/>
        <w:right w:val="none" w:sz="0" w:space="0" w:color="auto"/>
      </w:divBdr>
    </w:div>
    <w:div w:id="119887254">
      <w:bodyDiv w:val="1"/>
      <w:marLeft w:val="0"/>
      <w:marRight w:val="0"/>
      <w:marTop w:val="0"/>
      <w:marBottom w:val="0"/>
      <w:divBdr>
        <w:top w:val="none" w:sz="0" w:space="0" w:color="auto"/>
        <w:left w:val="none" w:sz="0" w:space="0" w:color="auto"/>
        <w:bottom w:val="none" w:sz="0" w:space="0" w:color="auto"/>
        <w:right w:val="none" w:sz="0" w:space="0" w:color="auto"/>
      </w:divBdr>
    </w:div>
    <w:div w:id="143786166">
      <w:bodyDiv w:val="1"/>
      <w:marLeft w:val="0"/>
      <w:marRight w:val="0"/>
      <w:marTop w:val="0"/>
      <w:marBottom w:val="0"/>
      <w:divBdr>
        <w:top w:val="none" w:sz="0" w:space="0" w:color="auto"/>
        <w:left w:val="none" w:sz="0" w:space="0" w:color="auto"/>
        <w:bottom w:val="none" w:sz="0" w:space="0" w:color="auto"/>
        <w:right w:val="none" w:sz="0" w:space="0" w:color="auto"/>
      </w:divBdr>
    </w:div>
    <w:div w:id="157423781">
      <w:bodyDiv w:val="1"/>
      <w:marLeft w:val="0"/>
      <w:marRight w:val="0"/>
      <w:marTop w:val="0"/>
      <w:marBottom w:val="0"/>
      <w:divBdr>
        <w:top w:val="none" w:sz="0" w:space="0" w:color="auto"/>
        <w:left w:val="none" w:sz="0" w:space="0" w:color="auto"/>
        <w:bottom w:val="none" w:sz="0" w:space="0" w:color="auto"/>
        <w:right w:val="none" w:sz="0" w:space="0" w:color="auto"/>
      </w:divBdr>
    </w:div>
    <w:div w:id="166285499">
      <w:bodyDiv w:val="1"/>
      <w:marLeft w:val="0"/>
      <w:marRight w:val="0"/>
      <w:marTop w:val="0"/>
      <w:marBottom w:val="0"/>
      <w:divBdr>
        <w:top w:val="none" w:sz="0" w:space="0" w:color="auto"/>
        <w:left w:val="none" w:sz="0" w:space="0" w:color="auto"/>
        <w:bottom w:val="none" w:sz="0" w:space="0" w:color="auto"/>
        <w:right w:val="none" w:sz="0" w:space="0" w:color="auto"/>
      </w:divBdr>
    </w:div>
    <w:div w:id="202988287">
      <w:bodyDiv w:val="1"/>
      <w:marLeft w:val="0"/>
      <w:marRight w:val="0"/>
      <w:marTop w:val="0"/>
      <w:marBottom w:val="0"/>
      <w:divBdr>
        <w:top w:val="none" w:sz="0" w:space="0" w:color="auto"/>
        <w:left w:val="none" w:sz="0" w:space="0" w:color="auto"/>
        <w:bottom w:val="none" w:sz="0" w:space="0" w:color="auto"/>
        <w:right w:val="none" w:sz="0" w:space="0" w:color="auto"/>
      </w:divBdr>
    </w:div>
    <w:div w:id="215432279">
      <w:bodyDiv w:val="1"/>
      <w:marLeft w:val="0"/>
      <w:marRight w:val="0"/>
      <w:marTop w:val="0"/>
      <w:marBottom w:val="0"/>
      <w:divBdr>
        <w:top w:val="none" w:sz="0" w:space="0" w:color="auto"/>
        <w:left w:val="none" w:sz="0" w:space="0" w:color="auto"/>
        <w:bottom w:val="none" w:sz="0" w:space="0" w:color="auto"/>
        <w:right w:val="none" w:sz="0" w:space="0" w:color="auto"/>
      </w:divBdr>
    </w:div>
    <w:div w:id="216285134">
      <w:bodyDiv w:val="1"/>
      <w:marLeft w:val="0"/>
      <w:marRight w:val="0"/>
      <w:marTop w:val="0"/>
      <w:marBottom w:val="0"/>
      <w:divBdr>
        <w:top w:val="none" w:sz="0" w:space="0" w:color="auto"/>
        <w:left w:val="none" w:sz="0" w:space="0" w:color="auto"/>
        <w:bottom w:val="none" w:sz="0" w:space="0" w:color="auto"/>
        <w:right w:val="none" w:sz="0" w:space="0" w:color="auto"/>
      </w:divBdr>
    </w:div>
    <w:div w:id="245694897">
      <w:bodyDiv w:val="1"/>
      <w:marLeft w:val="0"/>
      <w:marRight w:val="0"/>
      <w:marTop w:val="0"/>
      <w:marBottom w:val="0"/>
      <w:divBdr>
        <w:top w:val="none" w:sz="0" w:space="0" w:color="auto"/>
        <w:left w:val="none" w:sz="0" w:space="0" w:color="auto"/>
        <w:bottom w:val="none" w:sz="0" w:space="0" w:color="auto"/>
        <w:right w:val="none" w:sz="0" w:space="0" w:color="auto"/>
      </w:divBdr>
    </w:div>
    <w:div w:id="285893684">
      <w:bodyDiv w:val="1"/>
      <w:marLeft w:val="0"/>
      <w:marRight w:val="0"/>
      <w:marTop w:val="0"/>
      <w:marBottom w:val="0"/>
      <w:divBdr>
        <w:top w:val="none" w:sz="0" w:space="0" w:color="auto"/>
        <w:left w:val="none" w:sz="0" w:space="0" w:color="auto"/>
        <w:bottom w:val="none" w:sz="0" w:space="0" w:color="auto"/>
        <w:right w:val="none" w:sz="0" w:space="0" w:color="auto"/>
      </w:divBdr>
    </w:div>
    <w:div w:id="294457066">
      <w:bodyDiv w:val="1"/>
      <w:marLeft w:val="0"/>
      <w:marRight w:val="0"/>
      <w:marTop w:val="0"/>
      <w:marBottom w:val="0"/>
      <w:divBdr>
        <w:top w:val="none" w:sz="0" w:space="0" w:color="auto"/>
        <w:left w:val="none" w:sz="0" w:space="0" w:color="auto"/>
        <w:bottom w:val="none" w:sz="0" w:space="0" w:color="auto"/>
        <w:right w:val="none" w:sz="0" w:space="0" w:color="auto"/>
      </w:divBdr>
    </w:div>
    <w:div w:id="299577429">
      <w:bodyDiv w:val="1"/>
      <w:marLeft w:val="0"/>
      <w:marRight w:val="0"/>
      <w:marTop w:val="0"/>
      <w:marBottom w:val="0"/>
      <w:divBdr>
        <w:top w:val="none" w:sz="0" w:space="0" w:color="auto"/>
        <w:left w:val="none" w:sz="0" w:space="0" w:color="auto"/>
        <w:bottom w:val="none" w:sz="0" w:space="0" w:color="auto"/>
        <w:right w:val="none" w:sz="0" w:space="0" w:color="auto"/>
      </w:divBdr>
    </w:div>
    <w:div w:id="347365560">
      <w:bodyDiv w:val="1"/>
      <w:marLeft w:val="0"/>
      <w:marRight w:val="0"/>
      <w:marTop w:val="0"/>
      <w:marBottom w:val="0"/>
      <w:divBdr>
        <w:top w:val="none" w:sz="0" w:space="0" w:color="auto"/>
        <w:left w:val="none" w:sz="0" w:space="0" w:color="auto"/>
        <w:bottom w:val="none" w:sz="0" w:space="0" w:color="auto"/>
        <w:right w:val="none" w:sz="0" w:space="0" w:color="auto"/>
      </w:divBdr>
    </w:div>
    <w:div w:id="397091780">
      <w:bodyDiv w:val="1"/>
      <w:marLeft w:val="0"/>
      <w:marRight w:val="0"/>
      <w:marTop w:val="0"/>
      <w:marBottom w:val="0"/>
      <w:divBdr>
        <w:top w:val="none" w:sz="0" w:space="0" w:color="auto"/>
        <w:left w:val="none" w:sz="0" w:space="0" w:color="auto"/>
        <w:bottom w:val="none" w:sz="0" w:space="0" w:color="auto"/>
        <w:right w:val="none" w:sz="0" w:space="0" w:color="auto"/>
      </w:divBdr>
    </w:div>
    <w:div w:id="399061917">
      <w:bodyDiv w:val="1"/>
      <w:marLeft w:val="0"/>
      <w:marRight w:val="0"/>
      <w:marTop w:val="0"/>
      <w:marBottom w:val="0"/>
      <w:divBdr>
        <w:top w:val="none" w:sz="0" w:space="0" w:color="auto"/>
        <w:left w:val="none" w:sz="0" w:space="0" w:color="auto"/>
        <w:bottom w:val="none" w:sz="0" w:space="0" w:color="auto"/>
        <w:right w:val="none" w:sz="0" w:space="0" w:color="auto"/>
      </w:divBdr>
    </w:div>
    <w:div w:id="411507194">
      <w:bodyDiv w:val="1"/>
      <w:marLeft w:val="0"/>
      <w:marRight w:val="0"/>
      <w:marTop w:val="0"/>
      <w:marBottom w:val="0"/>
      <w:divBdr>
        <w:top w:val="none" w:sz="0" w:space="0" w:color="auto"/>
        <w:left w:val="none" w:sz="0" w:space="0" w:color="auto"/>
        <w:bottom w:val="none" w:sz="0" w:space="0" w:color="auto"/>
        <w:right w:val="none" w:sz="0" w:space="0" w:color="auto"/>
      </w:divBdr>
    </w:div>
    <w:div w:id="428086778">
      <w:bodyDiv w:val="1"/>
      <w:marLeft w:val="0"/>
      <w:marRight w:val="0"/>
      <w:marTop w:val="0"/>
      <w:marBottom w:val="0"/>
      <w:divBdr>
        <w:top w:val="none" w:sz="0" w:space="0" w:color="auto"/>
        <w:left w:val="none" w:sz="0" w:space="0" w:color="auto"/>
        <w:bottom w:val="none" w:sz="0" w:space="0" w:color="auto"/>
        <w:right w:val="none" w:sz="0" w:space="0" w:color="auto"/>
      </w:divBdr>
    </w:div>
    <w:div w:id="462383713">
      <w:bodyDiv w:val="1"/>
      <w:marLeft w:val="0"/>
      <w:marRight w:val="0"/>
      <w:marTop w:val="0"/>
      <w:marBottom w:val="0"/>
      <w:divBdr>
        <w:top w:val="none" w:sz="0" w:space="0" w:color="auto"/>
        <w:left w:val="none" w:sz="0" w:space="0" w:color="auto"/>
        <w:bottom w:val="none" w:sz="0" w:space="0" w:color="auto"/>
        <w:right w:val="none" w:sz="0" w:space="0" w:color="auto"/>
      </w:divBdr>
    </w:div>
    <w:div w:id="477918491">
      <w:bodyDiv w:val="1"/>
      <w:marLeft w:val="0"/>
      <w:marRight w:val="0"/>
      <w:marTop w:val="0"/>
      <w:marBottom w:val="0"/>
      <w:divBdr>
        <w:top w:val="none" w:sz="0" w:space="0" w:color="auto"/>
        <w:left w:val="none" w:sz="0" w:space="0" w:color="auto"/>
        <w:bottom w:val="none" w:sz="0" w:space="0" w:color="auto"/>
        <w:right w:val="none" w:sz="0" w:space="0" w:color="auto"/>
      </w:divBdr>
    </w:div>
    <w:div w:id="505092918">
      <w:bodyDiv w:val="1"/>
      <w:marLeft w:val="0"/>
      <w:marRight w:val="0"/>
      <w:marTop w:val="0"/>
      <w:marBottom w:val="0"/>
      <w:divBdr>
        <w:top w:val="none" w:sz="0" w:space="0" w:color="auto"/>
        <w:left w:val="none" w:sz="0" w:space="0" w:color="auto"/>
        <w:bottom w:val="none" w:sz="0" w:space="0" w:color="auto"/>
        <w:right w:val="none" w:sz="0" w:space="0" w:color="auto"/>
      </w:divBdr>
    </w:div>
    <w:div w:id="518086252">
      <w:bodyDiv w:val="1"/>
      <w:marLeft w:val="0"/>
      <w:marRight w:val="0"/>
      <w:marTop w:val="0"/>
      <w:marBottom w:val="0"/>
      <w:divBdr>
        <w:top w:val="none" w:sz="0" w:space="0" w:color="auto"/>
        <w:left w:val="none" w:sz="0" w:space="0" w:color="auto"/>
        <w:bottom w:val="none" w:sz="0" w:space="0" w:color="auto"/>
        <w:right w:val="none" w:sz="0" w:space="0" w:color="auto"/>
      </w:divBdr>
    </w:div>
    <w:div w:id="519783758">
      <w:bodyDiv w:val="1"/>
      <w:marLeft w:val="0"/>
      <w:marRight w:val="0"/>
      <w:marTop w:val="0"/>
      <w:marBottom w:val="0"/>
      <w:divBdr>
        <w:top w:val="none" w:sz="0" w:space="0" w:color="auto"/>
        <w:left w:val="none" w:sz="0" w:space="0" w:color="auto"/>
        <w:bottom w:val="none" w:sz="0" w:space="0" w:color="auto"/>
        <w:right w:val="none" w:sz="0" w:space="0" w:color="auto"/>
      </w:divBdr>
    </w:div>
    <w:div w:id="591740871">
      <w:bodyDiv w:val="1"/>
      <w:marLeft w:val="0"/>
      <w:marRight w:val="0"/>
      <w:marTop w:val="0"/>
      <w:marBottom w:val="0"/>
      <w:divBdr>
        <w:top w:val="none" w:sz="0" w:space="0" w:color="auto"/>
        <w:left w:val="none" w:sz="0" w:space="0" w:color="auto"/>
        <w:bottom w:val="none" w:sz="0" w:space="0" w:color="auto"/>
        <w:right w:val="none" w:sz="0" w:space="0" w:color="auto"/>
      </w:divBdr>
    </w:div>
    <w:div w:id="597444043">
      <w:bodyDiv w:val="1"/>
      <w:marLeft w:val="0"/>
      <w:marRight w:val="0"/>
      <w:marTop w:val="0"/>
      <w:marBottom w:val="0"/>
      <w:divBdr>
        <w:top w:val="none" w:sz="0" w:space="0" w:color="auto"/>
        <w:left w:val="none" w:sz="0" w:space="0" w:color="auto"/>
        <w:bottom w:val="none" w:sz="0" w:space="0" w:color="auto"/>
        <w:right w:val="none" w:sz="0" w:space="0" w:color="auto"/>
      </w:divBdr>
    </w:div>
    <w:div w:id="599993447">
      <w:bodyDiv w:val="1"/>
      <w:marLeft w:val="0"/>
      <w:marRight w:val="0"/>
      <w:marTop w:val="0"/>
      <w:marBottom w:val="0"/>
      <w:divBdr>
        <w:top w:val="none" w:sz="0" w:space="0" w:color="auto"/>
        <w:left w:val="none" w:sz="0" w:space="0" w:color="auto"/>
        <w:bottom w:val="none" w:sz="0" w:space="0" w:color="auto"/>
        <w:right w:val="none" w:sz="0" w:space="0" w:color="auto"/>
      </w:divBdr>
    </w:div>
    <w:div w:id="616719250">
      <w:bodyDiv w:val="1"/>
      <w:marLeft w:val="0"/>
      <w:marRight w:val="0"/>
      <w:marTop w:val="0"/>
      <w:marBottom w:val="0"/>
      <w:divBdr>
        <w:top w:val="none" w:sz="0" w:space="0" w:color="auto"/>
        <w:left w:val="none" w:sz="0" w:space="0" w:color="auto"/>
        <w:bottom w:val="none" w:sz="0" w:space="0" w:color="auto"/>
        <w:right w:val="none" w:sz="0" w:space="0" w:color="auto"/>
      </w:divBdr>
    </w:div>
    <w:div w:id="647131297">
      <w:bodyDiv w:val="1"/>
      <w:marLeft w:val="0"/>
      <w:marRight w:val="0"/>
      <w:marTop w:val="0"/>
      <w:marBottom w:val="0"/>
      <w:divBdr>
        <w:top w:val="none" w:sz="0" w:space="0" w:color="auto"/>
        <w:left w:val="none" w:sz="0" w:space="0" w:color="auto"/>
        <w:bottom w:val="none" w:sz="0" w:space="0" w:color="auto"/>
        <w:right w:val="none" w:sz="0" w:space="0" w:color="auto"/>
      </w:divBdr>
    </w:div>
    <w:div w:id="684400866">
      <w:bodyDiv w:val="1"/>
      <w:marLeft w:val="0"/>
      <w:marRight w:val="0"/>
      <w:marTop w:val="0"/>
      <w:marBottom w:val="0"/>
      <w:divBdr>
        <w:top w:val="none" w:sz="0" w:space="0" w:color="auto"/>
        <w:left w:val="none" w:sz="0" w:space="0" w:color="auto"/>
        <w:bottom w:val="none" w:sz="0" w:space="0" w:color="auto"/>
        <w:right w:val="none" w:sz="0" w:space="0" w:color="auto"/>
      </w:divBdr>
    </w:div>
    <w:div w:id="690374400">
      <w:bodyDiv w:val="1"/>
      <w:marLeft w:val="0"/>
      <w:marRight w:val="0"/>
      <w:marTop w:val="0"/>
      <w:marBottom w:val="0"/>
      <w:divBdr>
        <w:top w:val="none" w:sz="0" w:space="0" w:color="auto"/>
        <w:left w:val="none" w:sz="0" w:space="0" w:color="auto"/>
        <w:bottom w:val="none" w:sz="0" w:space="0" w:color="auto"/>
        <w:right w:val="none" w:sz="0" w:space="0" w:color="auto"/>
      </w:divBdr>
    </w:div>
    <w:div w:id="701129509">
      <w:bodyDiv w:val="1"/>
      <w:marLeft w:val="0"/>
      <w:marRight w:val="0"/>
      <w:marTop w:val="0"/>
      <w:marBottom w:val="0"/>
      <w:divBdr>
        <w:top w:val="none" w:sz="0" w:space="0" w:color="auto"/>
        <w:left w:val="none" w:sz="0" w:space="0" w:color="auto"/>
        <w:bottom w:val="none" w:sz="0" w:space="0" w:color="auto"/>
        <w:right w:val="none" w:sz="0" w:space="0" w:color="auto"/>
      </w:divBdr>
    </w:div>
    <w:div w:id="720907792">
      <w:bodyDiv w:val="1"/>
      <w:marLeft w:val="0"/>
      <w:marRight w:val="0"/>
      <w:marTop w:val="0"/>
      <w:marBottom w:val="0"/>
      <w:divBdr>
        <w:top w:val="none" w:sz="0" w:space="0" w:color="auto"/>
        <w:left w:val="none" w:sz="0" w:space="0" w:color="auto"/>
        <w:bottom w:val="none" w:sz="0" w:space="0" w:color="auto"/>
        <w:right w:val="none" w:sz="0" w:space="0" w:color="auto"/>
      </w:divBdr>
    </w:div>
    <w:div w:id="726731675">
      <w:bodyDiv w:val="1"/>
      <w:marLeft w:val="0"/>
      <w:marRight w:val="0"/>
      <w:marTop w:val="0"/>
      <w:marBottom w:val="0"/>
      <w:divBdr>
        <w:top w:val="none" w:sz="0" w:space="0" w:color="auto"/>
        <w:left w:val="none" w:sz="0" w:space="0" w:color="auto"/>
        <w:bottom w:val="none" w:sz="0" w:space="0" w:color="auto"/>
        <w:right w:val="none" w:sz="0" w:space="0" w:color="auto"/>
      </w:divBdr>
    </w:div>
    <w:div w:id="737244564">
      <w:bodyDiv w:val="1"/>
      <w:marLeft w:val="0"/>
      <w:marRight w:val="0"/>
      <w:marTop w:val="0"/>
      <w:marBottom w:val="0"/>
      <w:divBdr>
        <w:top w:val="none" w:sz="0" w:space="0" w:color="auto"/>
        <w:left w:val="none" w:sz="0" w:space="0" w:color="auto"/>
        <w:bottom w:val="none" w:sz="0" w:space="0" w:color="auto"/>
        <w:right w:val="none" w:sz="0" w:space="0" w:color="auto"/>
      </w:divBdr>
    </w:div>
    <w:div w:id="738944783">
      <w:bodyDiv w:val="1"/>
      <w:marLeft w:val="0"/>
      <w:marRight w:val="0"/>
      <w:marTop w:val="0"/>
      <w:marBottom w:val="0"/>
      <w:divBdr>
        <w:top w:val="none" w:sz="0" w:space="0" w:color="auto"/>
        <w:left w:val="none" w:sz="0" w:space="0" w:color="auto"/>
        <w:bottom w:val="none" w:sz="0" w:space="0" w:color="auto"/>
        <w:right w:val="none" w:sz="0" w:space="0" w:color="auto"/>
      </w:divBdr>
      <w:divsChild>
        <w:div w:id="774864243">
          <w:marLeft w:val="446"/>
          <w:marRight w:val="0"/>
          <w:marTop w:val="0"/>
          <w:marBottom w:val="0"/>
          <w:divBdr>
            <w:top w:val="none" w:sz="0" w:space="0" w:color="auto"/>
            <w:left w:val="none" w:sz="0" w:space="0" w:color="auto"/>
            <w:bottom w:val="none" w:sz="0" w:space="0" w:color="auto"/>
            <w:right w:val="none" w:sz="0" w:space="0" w:color="auto"/>
          </w:divBdr>
        </w:div>
        <w:div w:id="1023938664">
          <w:marLeft w:val="446"/>
          <w:marRight w:val="0"/>
          <w:marTop w:val="0"/>
          <w:marBottom w:val="0"/>
          <w:divBdr>
            <w:top w:val="none" w:sz="0" w:space="0" w:color="auto"/>
            <w:left w:val="none" w:sz="0" w:space="0" w:color="auto"/>
            <w:bottom w:val="none" w:sz="0" w:space="0" w:color="auto"/>
            <w:right w:val="none" w:sz="0" w:space="0" w:color="auto"/>
          </w:divBdr>
        </w:div>
        <w:div w:id="1358847960">
          <w:marLeft w:val="446"/>
          <w:marRight w:val="0"/>
          <w:marTop w:val="0"/>
          <w:marBottom w:val="0"/>
          <w:divBdr>
            <w:top w:val="none" w:sz="0" w:space="0" w:color="auto"/>
            <w:left w:val="none" w:sz="0" w:space="0" w:color="auto"/>
            <w:bottom w:val="none" w:sz="0" w:space="0" w:color="auto"/>
            <w:right w:val="none" w:sz="0" w:space="0" w:color="auto"/>
          </w:divBdr>
        </w:div>
        <w:div w:id="608512881">
          <w:marLeft w:val="446"/>
          <w:marRight w:val="0"/>
          <w:marTop w:val="0"/>
          <w:marBottom w:val="0"/>
          <w:divBdr>
            <w:top w:val="none" w:sz="0" w:space="0" w:color="auto"/>
            <w:left w:val="none" w:sz="0" w:space="0" w:color="auto"/>
            <w:bottom w:val="none" w:sz="0" w:space="0" w:color="auto"/>
            <w:right w:val="none" w:sz="0" w:space="0" w:color="auto"/>
          </w:divBdr>
        </w:div>
      </w:divsChild>
    </w:div>
    <w:div w:id="752164955">
      <w:bodyDiv w:val="1"/>
      <w:marLeft w:val="0"/>
      <w:marRight w:val="0"/>
      <w:marTop w:val="0"/>
      <w:marBottom w:val="0"/>
      <w:divBdr>
        <w:top w:val="none" w:sz="0" w:space="0" w:color="auto"/>
        <w:left w:val="none" w:sz="0" w:space="0" w:color="auto"/>
        <w:bottom w:val="none" w:sz="0" w:space="0" w:color="auto"/>
        <w:right w:val="none" w:sz="0" w:space="0" w:color="auto"/>
      </w:divBdr>
    </w:div>
    <w:div w:id="765880435">
      <w:bodyDiv w:val="1"/>
      <w:marLeft w:val="0"/>
      <w:marRight w:val="0"/>
      <w:marTop w:val="0"/>
      <w:marBottom w:val="0"/>
      <w:divBdr>
        <w:top w:val="none" w:sz="0" w:space="0" w:color="auto"/>
        <w:left w:val="none" w:sz="0" w:space="0" w:color="auto"/>
        <w:bottom w:val="none" w:sz="0" w:space="0" w:color="auto"/>
        <w:right w:val="none" w:sz="0" w:space="0" w:color="auto"/>
      </w:divBdr>
    </w:div>
    <w:div w:id="821582834">
      <w:bodyDiv w:val="1"/>
      <w:marLeft w:val="0"/>
      <w:marRight w:val="0"/>
      <w:marTop w:val="0"/>
      <w:marBottom w:val="0"/>
      <w:divBdr>
        <w:top w:val="none" w:sz="0" w:space="0" w:color="auto"/>
        <w:left w:val="none" w:sz="0" w:space="0" w:color="auto"/>
        <w:bottom w:val="none" w:sz="0" w:space="0" w:color="auto"/>
        <w:right w:val="none" w:sz="0" w:space="0" w:color="auto"/>
      </w:divBdr>
    </w:div>
    <w:div w:id="829980242">
      <w:bodyDiv w:val="1"/>
      <w:marLeft w:val="0"/>
      <w:marRight w:val="0"/>
      <w:marTop w:val="0"/>
      <w:marBottom w:val="0"/>
      <w:divBdr>
        <w:top w:val="none" w:sz="0" w:space="0" w:color="auto"/>
        <w:left w:val="none" w:sz="0" w:space="0" w:color="auto"/>
        <w:bottom w:val="none" w:sz="0" w:space="0" w:color="auto"/>
        <w:right w:val="none" w:sz="0" w:space="0" w:color="auto"/>
      </w:divBdr>
    </w:div>
    <w:div w:id="850677570">
      <w:bodyDiv w:val="1"/>
      <w:marLeft w:val="0"/>
      <w:marRight w:val="0"/>
      <w:marTop w:val="0"/>
      <w:marBottom w:val="0"/>
      <w:divBdr>
        <w:top w:val="none" w:sz="0" w:space="0" w:color="auto"/>
        <w:left w:val="none" w:sz="0" w:space="0" w:color="auto"/>
        <w:bottom w:val="none" w:sz="0" w:space="0" w:color="auto"/>
        <w:right w:val="none" w:sz="0" w:space="0" w:color="auto"/>
      </w:divBdr>
    </w:div>
    <w:div w:id="888297911">
      <w:bodyDiv w:val="1"/>
      <w:marLeft w:val="0"/>
      <w:marRight w:val="0"/>
      <w:marTop w:val="0"/>
      <w:marBottom w:val="0"/>
      <w:divBdr>
        <w:top w:val="none" w:sz="0" w:space="0" w:color="auto"/>
        <w:left w:val="none" w:sz="0" w:space="0" w:color="auto"/>
        <w:bottom w:val="none" w:sz="0" w:space="0" w:color="auto"/>
        <w:right w:val="none" w:sz="0" w:space="0" w:color="auto"/>
      </w:divBdr>
    </w:div>
    <w:div w:id="933972849">
      <w:bodyDiv w:val="1"/>
      <w:marLeft w:val="0"/>
      <w:marRight w:val="0"/>
      <w:marTop w:val="0"/>
      <w:marBottom w:val="0"/>
      <w:divBdr>
        <w:top w:val="none" w:sz="0" w:space="0" w:color="auto"/>
        <w:left w:val="none" w:sz="0" w:space="0" w:color="auto"/>
        <w:bottom w:val="none" w:sz="0" w:space="0" w:color="auto"/>
        <w:right w:val="none" w:sz="0" w:space="0" w:color="auto"/>
      </w:divBdr>
    </w:div>
    <w:div w:id="942735527">
      <w:bodyDiv w:val="1"/>
      <w:marLeft w:val="0"/>
      <w:marRight w:val="0"/>
      <w:marTop w:val="0"/>
      <w:marBottom w:val="0"/>
      <w:divBdr>
        <w:top w:val="none" w:sz="0" w:space="0" w:color="auto"/>
        <w:left w:val="none" w:sz="0" w:space="0" w:color="auto"/>
        <w:bottom w:val="none" w:sz="0" w:space="0" w:color="auto"/>
        <w:right w:val="none" w:sz="0" w:space="0" w:color="auto"/>
      </w:divBdr>
    </w:div>
    <w:div w:id="958603622">
      <w:bodyDiv w:val="1"/>
      <w:marLeft w:val="0"/>
      <w:marRight w:val="0"/>
      <w:marTop w:val="0"/>
      <w:marBottom w:val="0"/>
      <w:divBdr>
        <w:top w:val="none" w:sz="0" w:space="0" w:color="auto"/>
        <w:left w:val="none" w:sz="0" w:space="0" w:color="auto"/>
        <w:bottom w:val="none" w:sz="0" w:space="0" w:color="auto"/>
        <w:right w:val="none" w:sz="0" w:space="0" w:color="auto"/>
      </w:divBdr>
    </w:div>
    <w:div w:id="978143579">
      <w:bodyDiv w:val="1"/>
      <w:marLeft w:val="0"/>
      <w:marRight w:val="0"/>
      <w:marTop w:val="0"/>
      <w:marBottom w:val="0"/>
      <w:divBdr>
        <w:top w:val="none" w:sz="0" w:space="0" w:color="auto"/>
        <w:left w:val="none" w:sz="0" w:space="0" w:color="auto"/>
        <w:bottom w:val="none" w:sz="0" w:space="0" w:color="auto"/>
        <w:right w:val="none" w:sz="0" w:space="0" w:color="auto"/>
      </w:divBdr>
    </w:div>
    <w:div w:id="1010376578">
      <w:bodyDiv w:val="1"/>
      <w:marLeft w:val="0"/>
      <w:marRight w:val="0"/>
      <w:marTop w:val="0"/>
      <w:marBottom w:val="0"/>
      <w:divBdr>
        <w:top w:val="none" w:sz="0" w:space="0" w:color="auto"/>
        <w:left w:val="none" w:sz="0" w:space="0" w:color="auto"/>
        <w:bottom w:val="none" w:sz="0" w:space="0" w:color="auto"/>
        <w:right w:val="none" w:sz="0" w:space="0" w:color="auto"/>
      </w:divBdr>
    </w:div>
    <w:div w:id="1076054881">
      <w:bodyDiv w:val="1"/>
      <w:marLeft w:val="0"/>
      <w:marRight w:val="0"/>
      <w:marTop w:val="0"/>
      <w:marBottom w:val="0"/>
      <w:divBdr>
        <w:top w:val="none" w:sz="0" w:space="0" w:color="auto"/>
        <w:left w:val="none" w:sz="0" w:space="0" w:color="auto"/>
        <w:bottom w:val="none" w:sz="0" w:space="0" w:color="auto"/>
        <w:right w:val="none" w:sz="0" w:space="0" w:color="auto"/>
      </w:divBdr>
    </w:div>
    <w:div w:id="1085565568">
      <w:bodyDiv w:val="1"/>
      <w:marLeft w:val="0"/>
      <w:marRight w:val="0"/>
      <w:marTop w:val="0"/>
      <w:marBottom w:val="0"/>
      <w:divBdr>
        <w:top w:val="none" w:sz="0" w:space="0" w:color="auto"/>
        <w:left w:val="none" w:sz="0" w:space="0" w:color="auto"/>
        <w:bottom w:val="none" w:sz="0" w:space="0" w:color="auto"/>
        <w:right w:val="none" w:sz="0" w:space="0" w:color="auto"/>
      </w:divBdr>
    </w:div>
    <w:div w:id="1111701710">
      <w:bodyDiv w:val="1"/>
      <w:marLeft w:val="0"/>
      <w:marRight w:val="0"/>
      <w:marTop w:val="0"/>
      <w:marBottom w:val="0"/>
      <w:divBdr>
        <w:top w:val="none" w:sz="0" w:space="0" w:color="auto"/>
        <w:left w:val="none" w:sz="0" w:space="0" w:color="auto"/>
        <w:bottom w:val="none" w:sz="0" w:space="0" w:color="auto"/>
        <w:right w:val="none" w:sz="0" w:space="0" w:color="auto"/>
      </w:divBdr>
    </w:div>
    <w:div w:id="1127357550">
      <w:bodyDiv w:val="1"/>
      <w:marLeft w:val="0"/>
      <w:marRight w:val="0"/>
      <w:marTop w:val="0"/>
      <w:marBottom w:val="0"/>
      <w:divBdr>
        <w:top w:val="none" w:sz="0" w:space="0" w:color="auto"/>
        <w:left w:val="none" w:sz="0" w:space="0" w:color="auto"/>
        <w:bottom w:val="none" w:sz="0" w:space="0" w:color="auto"/>
        <w:right w:val="none" w:sz="0" w:space="0" w:color="auto"/>
      </w:divBdr>
    </w:div>
    <w:div w:id="1182428429">
      <w:bodyDiv w:val="1"/>
      <w:marLeft w:val="0"/>
      <w:marRight w:val="0"/>
      <w:marTop w:val="0"/>
      <w:marBottom w:val="0"/>
      <w:divBdr>
        <w:top w:val="none" w:sz="0" w:space="0" w:color="auto"/>
        <w:left w:val="none" w:sz="0" w:space="0" w:color="auto"/>
        <w:bottom w:val="none" w:sz="0" w:space="0" w:color="auto"/>
        <w:right w:val="none" w:sz="0" w:space="0" w:color="auto"/>
      </w:divBdr>
      <w:divsChild>
        <w:div w:id="240799443">
          <w:marLeft w:val="446"/>
          <w:marRight w:val="0"/>
          <w:marTop w:val="0"/>
          <w:marBottom w:val="0"/>
          <w:divBdr>
            <w:top w:val="none" w:sz="0" w:space="0" w:color="auto"/>
            <w:left w:val="none" w:sz="0" w:space="0" w:color="auto"/>
            <w:bottom w:val="none" w:sz="0" w:space="0" w:color="auto"/>
            <w:right w:val="none" w:sz="0" w:space="0" w:color="auto"/>
          </w:divBdr>
        </w:div>
        <w:div w:id="630862039">
          <w:marLeft w:val="446"/>
          <w:marRight w:val="0"/>
          <w:marTop w:val="0"/>
          <w:marBottom w:val="0"/>
          <w:divBdr>
            <w:top w:val="none" w:sz="0" w:space="0" w:color="auto"/>
            <w:left w:val="none" w:sz="0" w:space="0" w:color="auto"/>
            <w:bottom w:val="none" w:sz="0" w:space="0" w:color="auto"/>
            <w:right w:val="none" w:sz="0" w:space="0" w:color="auto"/>
          </w:divBdr>
        </w:div>
      </w:divsChild>
    </w:div>
    <w:div w:id="1213422299">
      <w:bodyDiv w:val="1"/>
      <w:marLeft w:val="0"/>
      <w:marRight w:val="0"/>
      <w:marTop w:val="0"/>
      <w:marBottom w:val="0"/>
      <w:divBdr>
        <w:top w:val="none" w:sz="0" w:space="0" w:color="auto"/>
        <w:left w:val="none" w:sz="0" w:space="0" w:color="auto"/>
        <w:bottom w:val="none" w:sz="0" w:space="0" w:color="auto"/>
        <w:right w:val="none" w:sz="0" w:space="0" w:color="auto"/>
      </w:divBdr>
    </w:div>
    <w:div w:id="1228104398">
      <w:bodyDiv w:val="1"/>
      <w:marLeft w:val="0"/>
      <w:marRight w:val="0"/>
      <w:marTop w:val="0"/>
      <w:marBottom w:val="0"/>
      <w:divBdr>
        <w:top w:val="none" w:sz="0" w:space="0" w:color="auto"/>
        <w:left w:val="none" w:sz="0" w:space="0" w:color="auto"/>
        <w:bottom w:val="none" w:sz="0" w:space="0" w:color="auto"/>
        <w:right w:val="none" w:sz="0" w:space="0" w:color="auto"/>
      </w:divBdr>
    </w:div>
    <w:div w:id="1231692713">
      <w:bodyDiv w:val="1"/>
      <w:marLeft w:val="0"/>
      <w:marRight w:val="0"/>
      <w:marTop w:val="0"/>
      <w:marBottom w:val="0"/>
      <w:divBdr>
        <w:top w:val="none" w:sz="0" w:space="0" w:color="auto"/>
        <w:left w:val="none" w:sz="0" w:space="0" w:color="auto"/>
        <w:bottom w:val="none" w:sz="0" w:space="0" w:color="auto"/>
        <w:right w:val="none" w:sz="0" w:space="0" w:color="auto"/>
      </w:divBdr>
    </w:div>
    <w:div w:id="1255628665">
      <w:bodyDiv w:val="1"/>
      <w:marLeft w:val="0"/>
      <w:marRight w:val="0"/>
      <w:marTop w:val="0"/>
      <w:marBottom w:val="0"/>
      <w:divBdr>
        <w:top w:val="none" w:sz="0" w:space="0" w:color="auto"/>
        <w:left w:val="none" w:sz="0" w:space="0" w:color="auto"/>
        <w:bottom w:val="none" w:sz="0" w:space="0" w:color="auto"/>
        <w:right w:val="none" w:sz="0" w:space="0" w:color="auto"/>
      </w:divBdr>
    </w:div>
    <w:div w:id="1273322936">
      <w:bodyDiv w:val="1"/>
      <w:marLeft w:val="0"/>
      <w:marRight w:val="0"/>
      <w:marTop w:val="0"/>
      <w:marBottom w:val="0"/>
      <w:divBdr>
        <w:top w:val="none" w:sz="0" w:space="0" w:color="auto"/>
        <w:left w:val="none" w:sz="0" w:space="0" w:color="auto"/>
        <w:bottom w:val="none" w:sz="0" w:space="0" w:color="auto"/>
        <w:right w:val="none" w:sz="0" w:space="0" w:color="auto"/>
      </w:divBdr>
    </w:div>
    <w:div w:id="1289118930">
      <w:bodyDiv w:val="1"/>
      <w:marLeft w:val="0"/>
      <w:marRight w:val="0"/>
      <w:marTop w:val="0"/>
      <w:marBottom w:val="0"/>
      <w:divBdr>
        <w:top w:val="none" w:sz="0" w:space="0" w:color="auto"/>
        <w:left w:val="none" w:sz="0" w:space="0" w:color="auto"/>
        <w:bottom w:val="none" w:sz="0" w:space="0" w:color="auto"/>
        <w:right w:val="none" w:sz="0" w:space="0" w:color="auto"/>
      </w:divBdr>
    </w:div>
    <w:div w:id="1290208575">
      <w:bodyDiv w:val="1"/>
      <w:marLeft w:val="0"/>
      <w:marRight w:val="0"/>
      <w:marTop w:val="0"/>
      <w:marBottom w:val="0"/>
      <w:divBdr>
        <w:top w:val="none" w:sz="0" w:space="0" w:color="auto"/>
        <w:left w:val="none" w:sz="0" w:space="0" w:color="auto"/>
        <w:bottom w:val="none" w:sz="0" w:space="0" w:color="auto"/>
        <w:right w:val="none" w:sz="0" w:space="0" w:color="auto"/>
      </w:divBdr>
    </w:div>
    <w:div w:id="1388608292">
      <w:bodyDiv w:val="1"/>
      <w:marLeft w:val="0"/>
      <w:marRight w:val="0"/>
      <w:marTop w:val="0"/>
      <w:marBottom w:val="0"/>
      <w:divBdr>
        <w:top w:val="none" w:sz="0" w:space="0" w:color="auto"/>
        <w:left w:val="none" w:sz="0" w:space="0" w:color="auto"/>
        <w:bottom w:val="none" w:sz="0" w:space="0" w:color="auto"/>
        <w:right w:val="none" w:sz="0" w:space="0" w:color="auto"/>
      </w:divBdr>
      <w:divsChild>
        <w:div w:id="1521889102">
          <w:marLeft w:val="0"/>
          <w:marRight w:val="0"/>
          <w:marTop w:val="0"/>
          <w:marBottom w:val="120"/>
          <w:divBdr>
            <w:top w:val="none" w:sz="0" w:space="0" w:color="auto"/>
            <w:left w:val="none" w:sz="0" w:space="0" w:color="auto"/>
            <w:bottom w:val="none" w:sz="0" w:space="0" w:color="auto"/>
            <w:right w:val="none" w:sz="0" w:space="0" w:color="auto"/>
          </w:divBdr>
        </w:div>
        <w:div w:id="335302722">
          <w:marLeft w:val="0"/>
          <w:marRight w:val="0"/>
          <w:marTop w:val="0"/>
          <w:marBottom w:val="120"/>
          <w:divBdr>
            <w:top w:val="none" w:sz="0" w:space="0" w:color="auto"/>
            <w:left w:val="none" w:sz="0" w:space="0" w:color="auto"/>
            <w:bottom w:val="none" w:sz="0" w:space="0" w:color="auto"/>
            <w:right w:val="none" w:sz="0" w:space="0" w:color="auto"/>
          </w:divBdr>
        </w:div>
        <w:div w:id="1533688088">
          <w:marLeft w:val="0"/>
          <w:marRight w:val="0"/>
          <w:marTop w:val="0"/>
          <w:marBottom w:val="120"/>
          <w:divBdr>
            <w:top w:val="none" w:sz="0" w:space="0" w:color="auto"/>
            <w:left w:val="none" w:sz="0" w:space="0" w:color="auto"/>
            <w:bottom w:val="none" w:sz="0" w:space="0" w:color="auto"/>
            <w:right w:val="none" w:sz="0" w:space="0" w:color="auto"/>
          </w:divBdr>
        </w:div>
        <w:div w:id="1242177874">
          <w:marLeft w:val="0"/>
          <w:marRight w:val="0"/>
          <w:marTop w:val="0"/>
          <w:marBottom w:val="120"/>
          <w:divBdr>
            <w:top w:val="none" w:sz="0" w:space="0" w:color="auto"/>
            <w:left w:val="none" w:sz="0" w:space="0" w:color="auto"/>
            <w:bottom w:val="none" w:sz="0" w:space="0" w:color="auto"/>
            <w:right w:val="none" w:sz="0" w:space="0" w:color="auto"/>
          </w:divBdr>
        </w:div>
      </w:divsChild>
    </w:div>
    <w:div w:id="1392920749">
      <w:bodyDiv w:val="1"/>
      <w:marLeft w:val="0"/>
      <w:marRight w:val="0"/>
      <w:marTop w:val="0"/>
      <w:marBottom w:val="0"/>
      <w:divBdr>
        <w:top w:val="none" w:sz="0" w:space="0" w:color="auto"/>
        <w:left w:val="none" w:sz="0" w:space="0" w:color="auto"/>
        <w:bottom w:val="none" w:sz="0" w:space="0" w:color="auto"/>
        <w:right w:val="none" w:sz="0" w:space="0" w:color="auto"/>
      </w:divBdr>
    </w:div>
    <w:div w:id="1429741549">
      <w:bodyDiv w:val="1"/>
      <w:marLeft w:val="0"/>
      <w:marRight w:val="0"/>
      <w:marTop w:val="0"/>
      <w:marBottom w:val="0"/>
      <w:divBdr>
        <w:top w:val="none" w:sz="0" w:space="0" w:color="auto"/>
        <w:left w:val="none" w:sz="0" w:space="0" w:color="auto"/>
        <w:bottom w:val="none" w:sz="0" w:space="0" w:color="auto"/>
        <w:right w:val="none" w:sz="0" w:space="0" w:color="auto"/>
      </w:divBdr>
    </w:div>
    <w:div w:id="1432162590">
      <w:bodyDiv w:val="1"/>
      <w:marLeft w:val="0"/>
      <w:marRight w:val="0"/>
      <w:marTop w:val="0"/>
      <w:marBottom w:val="0"/>
      <w:divBdr>
        <w:top w:val="none" w:sz="0" w:space="0" w:color="auto"/>
        <w:left w:val="none" w:sz="0" w:space="0" w:color="auto"/>
        <w:bottom w:val="none" w:sz="0" w:space="0" w:color="auto"/>
        <w:right w:val="none" w:sz="0" w:space="0" w:color="auto"/>
      </w:divBdr>
    </w:div>
    <w:div w:id="1433669600">
      <w:bodyDiv w:val="1"/>
      <w:marLeft w:val="0"/>
      <w:marRight w:val="0"/>
      <w:marTop w:val="0"/>
      <w:marBottom w:val="0"/>
      <w:divBdr>
        <w:top w:val="none" w:sz="0" w:space="0" w:color="auto"/>
        <w:left w:val="none" w:sz="0" w:space="0" w:color="auto"/>
        <w:bottom w:val="none" w:sz="0" w:space="0" w:color="auto"/>
        <w:right w:val="none" w:sz="0" w:space="0" w:color="auto"/>
      </w:divBdr>
    </w:div>
    <w:div w:id="1454207594">
      <w:bodyDiv w:val="1"/>
      <w:marLeft w:val="0"/>
      <w:marRight w:val="0"/>
      <w:marTop w:val="0"/>
      <w:marBottom w:val="0"/>
      <w:divBdr>
        <w:top w:val="none" w:sz="0" w:space="0" w:color="auto"/>
        <w:left w:val="none" w:sz="0" w:space="0" w:color="auto"/>
        <w:bottom w:val="none" w:sz="0" w:space="0" w:color="auto"/>
        <w:right w:val="none" w:sz="0" w:space="0" w:color="auto"/>
      </w:divBdr>
    </w:div>
    <w:div w:id="1527215291">
      <w:bodyDiv w:val="1"/>
      <w:marLeft w:val="0"/>
      <w:marRight w:val="0"/>
      <w:marTop w:val="0"/>
      <w:marBottom w:val="0"/>
      <w:divBdr>
        <w:top w:val="none" w:sz="0" w:space="0" w:color="auto"/>
        <w:left w:val="none" w:sz="0" w:space="0" w:color="auto"/>
        <w:bottom w:val="none" w:sz="0" w:space="0" w:color="auto"/>
        <w:right w:val="none" w:sz="0" w:space="0" w:color="auto"/>
      </w:divBdr>
    </w:div>
    <w:div w:id="1530952499">
      <w:bodyDiv w:val="1"/>
      <w:marLeft w:val="0"/>
      <w:marRight w:val="0"/>
      <w:marTop w:val="0"/>
      <w:marBottom w:val="0"/>
      <w:divBdr>
        <w:top w:val="none" w:sz="0" w:space="0" w:color="auto"/>
        <w:left w:val="none" w:sz="0" w:space="0" w:color="auto"/>
        <w:bottom w:val="none" w:sz="0" w:space="0" w:color="auto"/>
        <w:right w:val="none" w:sz="0" w:space="0" w:color="auto"/>
      </w:divBdr>
    </w:div>
    <w:div w:id="1531188856">
      <w:bodyDiv w:val="1"/>
      <w:marLeft w:val="0"/>
      <w:marRight w:val="0"/>
      <w:marTop w:val="0"/>
      <w:marBottom w:val="0"/>
      <w:divBdr>
        <w:top w:val="none" w:sz="0" w:space="0" w:color="auto"/>
        <w:left w:val="none" w:sz="0" w:space="0" w:color="auto"/>
        <w:bottom w:val="none" w:sz="0" w:space="0" w:color="auto"/>
        <w:right w:val="none" w:sz="0" w:space="0" w:color="auto"/>
      </w:divBdr>
      <w:divsChild>
        <w:div w:id="509640571">
          <w:marLeft w:val="446"/>
          <w:marRight w:val="0"/>
          <w:marTop w:val="0"/>
          <w:marBottom w:val="0"/>
          <w:divBdr>
            <w:top w:val="none" w:sz="0" w:space="0" w:color="auto"/>
            <w:left w:val="none" w:sz="0" w:space="0" w:color="auto"/>
            <w:bottom w:val="none" w:sz="0" w:space="0" w:color="auto"/>
            <w:right w:val="none" w:sz="0" w:space="0" w:color="auto"/>
          </w:divBdr>
        </w:div>
        <w:div w:id="224487446">
          <w:marLeft w:val="446"/>
          <w:marRight w:val="0"/>
          <w:marTop w:val="0"/>
          <w:marBottom w:val="0"/>
          <w:divBdr>
            <w:top w:val="none" w:sz="0" w:space="0" w:color="auto"/>
            <w:left w:val="none" w:sz="0" w:space="0" w:color="auto"/>
            <w:bottom w:val="none" w:sz="0" w:space="0" w:color="auto"/>
            <w:right w:val="none" w:sz="0" w:space="0" w:color="auto"/>
          </w:divBdr>
        </w:div>
        <w:div w:id="844250482">
          <w:marLeft w:val="446"/>
          <w:marRight w:val="0"/>
          <w:marTop w:val="0"/>
          <w:marBottom w:val="0"/>
          <w:divBdr>
            <w:top w:val="none" w:sz="0" w:space="0" w:color="auto"/>
            <w:left w:val="none" w:sz="0" w:space="0" w:color="auto"/>
            <w:bottom w:val="none" w:sz="0" w:space="0" w:color="auto"/>
            <w:right w:val="none" w:sz="0" w:space="0" w:color="auto"/>
          </w:divBdr>
        </w:div>
      </w:divsChild>
    </w:div>
    <w:div w:id="1558127646">
      <w:bodyDiv w:val="1"/>
      <w:marLeft w:val="0"/>
      <w:marRight w:val="0"/>
      <w:marTop w:val="0"/>
      <w:marBottom w:val="0"/>
      <w:divBdr>
        <w:top w:val="none" w:sz="0" w:space="0" w:color="auto"/>
        <w:left w:val="none" w:sz="0" w:space="0" w:color="auto"/>
        <w:bottom w:val="none" w:sz="0" w:space="0" w:color="auto"/>
        <w:right w:val="none" w:sz="0" w:space="0" w:color="auto"/>
      </w:divBdr>
    </w:div>
    <w:div w:id="1621452206">
      <w:bodyDiv w:val="1"/>
      <w:marLeft w:val="0"/>
      <w:marRight w:val="0"/>
      <w:marTop w:val="0"/>
      <w:marBottom w:val="0"/>
      <w:divBdr>
        <w:top w:val="none" w:sz="0" w:space="0" w:color="auto"/>
        <w:left w:val="none" w:sz="0" w:space="0" w:color="auto"/>
        <w:bottom w:val="none" w:sz="0" w:space="0" w:color="auto"/>
        <w:right w:val="none" w:sz="0" w:space="0" w:color="auto"/>
      </w:divBdr>
    </w:div>
    <w:div w:id="1656450473">
      <w:bodyDiv w:val="1"/>
      <w:marLeft w:val="0"/>
      <w:marRight w:val="0"/>
      <w:marTop w:val="0"/>
      <w:marBottom w:val="0"/>
      <w:divBdr>
        <w:top w:val="none" w:sz="0" w:space="0" w:color="auto"/>
        <w:left w:val="none" w:sz="0" w:space="0" w:color="auto"/>
        <w:bottom w:val="none" w:sz="0" w:space="0" w:color="auto"/>
        <w:right w:val="none" w:sz="0" w:space="0" w:color="auto"/>
      </w:divBdr>
    </w:div>
    <w:div w:id="1683704604">
      <w:bodyDiv w:val="1"/>
      <w:marLeft w:val="0"/>
      <w:marRight w:val="0"/>
      <w:marTop w:val="0"/>
      <w:marBottom w:val="0"/>
      <w:divBdr>
        <w:top w:val="none" w:sz="0" w:space="0" w:color="auto"/>
        <w:left w:val="none" w:sz="0" w:space="0" w:color="auto"/>
        <w:bottom w:val="none" w:sz="0" w:space="0" w:color="auto"/>
        <w:right w:val="none" w:sz="0" w:space="0" w:color="auto"/>
      </w:divBdr>
    </w:div>
    <w:div w:id="1684284126">
      <w:bodyDiv w:val="1"/>
      <w:marLeft w:val="0"/>
      <w:marRight w:val="0"/>
      <w:marTop w:val="0"/>
      <w:marBottom w:val="0"/>
      <w:divBdr>
        <w:top w:val="none" w:sz="0" w:space="0" w:color="auto"/>
        <w:left w:val="none" w:sz="0" w:space="0" w:color="auto"/>
        <w:bottom w:val="none" w:sz="0" w:space="0" w:color="auto"/>
        <w:right w:val="none" w:sz="0" w:space="0" w:color="auto"/>
      </w:divBdr>
    </w:div>
    <w:div w:id="1711800876">
      <w:bodyDiv w:val="1"/>
      <w:marLeft w:val="0"/>
      <w:marRight w:val="0"/>
      <w:marTop w:val="0"/>
      <w:marBottom w:val="0"/>
      <w:divBdr>
        <w:top w:val="none" w:sz="0" w:space="0" w:color="auto"/>
        <w:left w:val="none" w:sz="0" w:space="0" w:color="auto"/>
        <w:bottom w:val="none" w:sz="0" w:space="0" w:color="auto"/>
        <w:right w:val="none" w:sz="0" w:space="0" w:color="auto"/>
      </w:divBdr>
    </w:div>
    <w:div w:id="1734348558">
      <w:bodyDiv w:val="1"/>
      <w:marLeft w:val="0"/>
      <w:marRight w:val="0"/>
      <w:marTop w:val="0"/>
      <w:marBottom w:val="0"/>
      <w:divBdr>
        <w:top w:val="none" w:sz="0" w:space="0" w:color="auto"/>
        <w:left w:val="none" w:sz="0" w:space="0" w:color="auto"/>
        <w:bottom w:val="none" w:sz="0" w:space="0" w:color="auto"/>
        <w:right w:val="none" w:sz="0" w:space="0" w:color="auto"/>
      </w:divBdr>
    </w:div>
    <w:div w:id="1750954568">
      <w:bodyDiv w:val="1"/>
      <w:marLeft w:val="0"/>
      <w:marRight w:val="0"/>
      <w:marTop w:val="0"/>
      <w:marBottom w:val="0"/>
      <w:divBdr>
        <w:top w:val="none" w:sz="0" w:space="0" w:color="auto"/>
        <w:left w:val="none" w:sz="0" w:space="0" w:color="auto"/>
        <w:bottom w:val="none" w:sz="0" w:space="0" w:color="auto"/>
        <w:right w:val="none" w:sz="0" w:space="0" w:color="auto"/>
      </w:divBdr>
    </w:div>
    <w:div w:id="1754935952">
      <w:bodyDiv w:val="1"/>
      <w:marLeft w:val="0"/>
      <w:marRight w:val="0"/>
      <w:marTop w:val="0"/>
      <w:marBottom w:val="0"/>
      <w:divBdr>
        <w:top w:val="none" w:sz="0" w:space="0" w:color="auto"/>
        <w:left w:val="none" w:sz="0" w:space="0" w:color="auto"/>
        <w:bottom w:val="none" w:sz="0" w:space="0" w:color="auto"/>
        <w:right w:val="none" w:sz="0" w:space="0" w:color="auto"/>
      </w:divBdr>
    </w:div>
    <w:div w:id="1755930742">
      <w:bodyDiv w:val="1"/>
      <w:marLeft w:val="0"/>
      <w:marRight w:val="0"/>
      <w:marTop w:val="0"/>
      <w:marBottom w:val="0"/>
      <w:divBdr>
        <w:top w:val="none" w:sz="0" w:space="0" w:color="auto"/>
        <w:left w:val="none" w:sz="0" w:space="0" w:color="auto"/>
        <w:bottom w:val="none" w:sz="0" w:space="0" w:color="auto"/>
        <w:right w:val="none" w:sz="0" w:space="0" w:color="auto"/>
      </w:divBdr>
    </w:div>
    <w:div w:id="1774477392">
      <w:bodyDiv w:val="1"/>
      <w:marLeft w:val="0"/>
      <w:marRight w:val="0"/>
      <w:marTop w:val="0"/>
      <w:marBottom w:val="0"/>
      <w:divBdr>
        <w:top w:val="none" w:sz="0" w:space="0" w:color="auto"/>
        <w:left w:val="none" w:sz="0" w:space="0" w:color="auto"/>
        <w:bottom w:val="none" w:sz="0" w:space="0" w:color="auto"/>
        <w:right w:val="none" w:sz="0" w:space="0" w:color="auto"/>
      </w:divBdr>
    </w:div>
    <w:div w:id="1789812213">
      <w:bodyDiv w:val="1"/>
      <w:marLeft w:val="0"/>
      <w:marRight w:val="0"/>
      <w:marTop w:val="0"/>
      <w:marBottom w:val="0"/>
      <w:divBdr>
        <w:top w:val="none" w:sz="0" w:space="0" w:color="auto"/>
        <w:left w:val="none" w:sz="0" w:space="0" w:color="auto"/>
        <w:bottom w:val="none" w:sz="0" w:space="0" w:color="auto"/>
        <w:right w:val="none" w:sz="0" w:space="0" w:color="auto"/>
      </w:divBdr>
    </w:div>
    <w:div w:id="1864976813">
      <w:bodyDiv w:val="1"/>
      <w:marLeft w:val="0"/>
      <w:marRight w:val="0"/>
      <w:marTop w:val="0"/>
      <w:marBottom w:val="0"/>
      <w:divBdr>
        <w:top w:val="none" w:sz="0" w:space="0" w:color="auto"/>
        <w:left w:val="none" w:sz="0" w:space="0" w:color="auto"/>
        <w:bottom w:val="none" w:sz="0" w:space="0" w:color="auto"/>
        <w:right w:val="none" w:sz="0" w:space="0" w:color="auto"/>
      </w:divBdr>
    </w:div>
    <w:div w:id="1884558363">
      <w:bodyDiv w:val="1"/>
      <w:marLeft w:val="0"/>
      <w:marRight w:val="0"/>
      <w:marTop w:val="0"/>
      <w:marBottom w:val="0"/>
      <w:divBdr>
        <w:top w:val="none" w:sz="0" w:space="0" w:color="auto"/>
        <w:left w:val="none" w:sz="0" w:space="0" w:color="auto"/>
        <w:bottom w:val="none" w:sz="0" w:space="0" w:color="auto"/>
        <w:right w:val="none" w:sz="0" w:space="0" w:color="auto"/>
      </w:divBdr>
    </w:div>
    <w:div w:id="1886986156">
      <w:bodyDiv w:val="1"/>
      <w:marLeft w:val="0"/>
      <w:marRight w:val="0"/>
      <w:marTop w:val="0"/>
      <w:marBottom w:val="0"/>
      <w:divBdr>
        <w:top w:val="none" w:sz="0" w:space="0" w:color="auto"/>
        <w:left w:val="none" w:sz="0" w:space="0" w:color="auto"/>
        <w:bottom w:val="none" w:sz="0" w:space="0" w:color="auto"/>
        <w:right w:val="none" w:sz="0" w:space="0" w:color="auto"/>
      </w:divBdr>
    </w:div>
    <w:div w:id="1906333616">
      <w:bodyDiv w:val="1"/>
      <w:marLeft w:val="0"/>
      <w:marRight w:val="0"/>
      <w:marTop w:val="0"/>
      <w:marBottom w:val="0"/>
      <w:divBdr>
        <w:top w:val="none" w:sz="0" w:space="0" w:color="auto"/>
        <w:left w:val="none" w:sz="0" w:space="0" w:color="auto"/>
        <w:bottom w:val="none" w:sz="0" w:space="0" w:color="auto"/>
        <w:right w:val="none" w:sz="0" w:space="0" w:color="auto"/>
      </w:divBdr>
    </w:div>
    <w:div w:id="1907254560">
      <w:bodyDiv w:val="1"/>
      <w:marLeft w:val="0"/>
      <w:marRight w:val="0"/>
      <w:marTop w:val="0"/>
      <w:marBottom w:val="0"/>
      <w:divBdr>
        <w:top w:val="none" w:sz="0" w:space="0" w:color="auto"/>
        <w:left w:val="none" w:sz="0" w:space="0" w:color="auto"/>
        <w:bottom w:val="none" w:sz="0" w:space="0" w:color="auto"/>
        <w:right w:val="none" w:sz="0" w:space="0" w:color="auto"/>
      </w:divBdr>
    </w:div>
    <w:div w:id="1969774699">
      <w:bodyDiv w:val="1"/>
      <w:marLeft w:val="0"/>
      <w:marRight w:val="0"/>
      <w:marTop w:val="0"/>
      <w:marBottom w:val="0"/>
      <w:divBdr>
        <w:top w:val="none" w:sz="0" w:space="0" w:color="auto"/>
        <w:left w:val="none" w:sz="0" w:space="0" w:color="auto"/>
        <w:bottom w:val="none" w:sz="0" w:space="0" w:color="auto"/>
        <w:right w:val="none" w:sz="0" w:space="0" w:color="auto"/>
      </w:divBdr>
    </w:div>
    <w:div w:id="1981880262">
      <w:bodyDiv w:val="1"/>
      <w:marLeft w:val="0"/>
      <w:marRight w:val="0"/>
      <w:marTop w:val="0"/>
      <w:marBottom w:val="0"/>
      <w:divBdr>
        <w:top w:val="none" w:sz="0" w:space="0" w:color="auto"/>
        <w:left w:val="none" w:sz="0" w:space="0" w:color="auto"/>
        <w:bottom w:val="none" w:sz="0" w:space="0" w:color="auto"/>
        <w:right w:val="none" w:sz="0" w:space="0" w:color="auto"/>
      </w:divBdr>
    </w:div>
    <w:div w:id="1995183975">
      <w:bodyDiv w:val="1"/>
      <w:marLeft w:val="0"/>
      <w:marRight w:val="0"/>
      <w:marTop w:val="0"/>
      <w:marBottom w:val="0"/>
      <w:divBdr>
        <w:top w:val="none" w:sz="0" w:space="0" w:color="auto"/>
        <w:left w:val="none" w:sz="0" w:space="0" w:color="auto"/>
        <w:bottom w:val="none" w:sz="0" w:space="0" w:color="auto"/>
        <w:right w:val="none" w:sz="0" w:space="0" w:color="auto"/>
      </w:divBdr>
    </w:div>
    <w:div w:id="2005890925">
      <w:bodyDiv w:val="1"/>
      <w:marLeft w:val="0"/>
      <w:marRight w:val="0"/>
      <w:marTop w:val="0"/>
      <w:marBottom w:val="0"/>
      <w:divBdr>
        <w:top w:val="none" w:sz="0" w:space="0" w:color="auto"/>
        <w:left w:val="none" w:sz="0" w:space="0" w:color="auto"/>
        <w:bottom w:val="none" w:sz="0" w:space="0" w:color="auto"/>
        <w:right w:val="none" w:sz="0" w:space="0" w:color="auto"/>
      </w:divBdr>
    </w:div>
    <w:div w:id="2027049895">
      <w:bodyDiv w:val="1"/>
      <w:marLeft w:val="0"/>
      <w:marRight w:val="0"/>
      <w:marTop w:val="0"/>
      <w:marBottom w:val="0"/>
      <w:divBdr>
        <w:top w:val="none" w:sz="0" w:space="0" w:color="auto"/>
        <w:left w:val="none" w:sz="0" w:space="0" w:color="auto"/>
        <w:bottom w:val="none" w:sz="0" w:space="0" w:color="auto"/>
        <w:right w:val="none" w:sz="0" w:space="0" w:color="auto"/>
      </w:divBdr>
    </w:div>
    <w:div w:id="2071267353">
      <w:bodyDiv w:val="1"/>
      <w:marLeft w:val="0"/>
      <w:marRight w:val="0"/>
      <w:marTop w:val="0"/>
      <w:marBottom w:val="0"/>
      <w:divBdr>
        <w:top w:val="none" w:sz="0" w:space="0" w:color="auto"/>
        <w:left w:val="none" w:sz="0" w:space="0" w:color="auto"/>
        <w:bottom w:val="none" w:sz="0" w:space="0" w:color="auto"/>
        <w:right w:val="none" w:sz="0" w:space="0" w:color="auto"/>
      </w:divBdr>
    </w:div>
    <w:div w:id="2080249083">
      <w:bodyDiv w:val="1"/>
      <w:marLeft w:val="0"/>
      <w:marRight w:val="0"/>
      <w:marTop w:val="0"/>
      <w:marBottom w:val="0"/>
      <w:divBdr>
        <w:top w:val="none" w:sz="0" w:space="0" w:color="auto"/>
        <w:left w:val="none" w:sz="0" w:space="0" w:color="auto"/>
        <w:bottom w:val="none" w:sz="0" w:space="0" w:color="auto"/>
        <w:right w:val="none" w:sz="0" w:space="0" w:color="auto"/>
      </w:divBdr>
    </w:div>
    <w:div w:id="2088721740">
      <w:bodyDiv w:val="1"/>
      <w:marLeft w:val="0"/>
      <w:marRight w:val="0"/>
      <w:marTop w:val="0"/>
      <w:marBottom w:val="0"/>
      <w:divBdr>
        <w:top w:val="none" w:sz="0" w:space="0" w:color="auto"/>
        <w:left w:val="none" w:sz="0" w:space="0" w:color="auto"/>
        <w:bottom w:val="none" w:sz="0" w:space="0" w:color="auto"/>
        <w:right w:val="none" w:sz="0" w:space="0" w:color="auto"/>
      </w:divBdr>
    </w:div>
    <w:div w:id="2096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ipe.org.c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EBF2-CEA9-6B45-B408-6C017F3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1499</Words>
  <Characters>8548</Characters>
  <Application>Microsoft Macintosh Word</Application>
  <DocSecurity>0</DocSecurity>
  <Lines>71</Lines>
  <Paragraphs>20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Greer</dc:creator>
  <cp:keywords/>
  <dc:description/>
  <cp:lastModifiedBy>徐 昕</cp:lastModifiedBy>
  <cp:revision>5</cp:revision>
  <cp:lastPrinted>2021-10-20T05:32:00Z</cp:lastPrinted>
  <dcterms:created xsi:type="dcterms:W3CDTF">2021-10-21T04:02:00Z</dcterms:created>
  <dcterms:modified xsi:type="dcterms:W3CDTF">2021-10-21T04:11:00Z</dcterms:modified>
</cp:coreProperties>
</file>